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ascii="宋体" w:hAnsi="宋体" w:eastAsia="宋体"/>
          <w:b/>
          <w:bCs/>
          <w:sz w:val="48"/>
          <w:szCs w:val="48"/>
        </w:rPr>
      </w:pPr>
      <w:r>
        <w:rPr>
          <w:rFonts w:ascii="宋体" w:hAnsi="宋体" w:eastAsia="宋体"/>
          <w:b/>
          <w:bCs/>
          <w:sz w:val="48"/>
          <w:szCs w:val="48"/>
        </w:rPr>
        <w:drawing>
          <wp:anchor distT="0" distB="0" distL="114300" distR="114300" simplePos="0" relativeHeight="251658240" behindDoc="0" locked="0" layoutInCell="1" allowOverlap="1">
            <wp:simplePos x="0" y="0"/>
            <wp:positionH relativeFrom="column">
              <wp:posOffset>1677670</wp:posOffset>
            </wp:positionH>
            <wp:positionV relativeFrom="paragraph">
              <wp:posOffset>99060</wp:posOffset>
            </wp:positionV>
            <wp:extent cx="1804670" cy="1000125"/>
            <wp:effectExtent l="0" t="0" r="508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804670" cy="1000125"/>
                    </a:xfrm>
                    <a:prstGeom prst="rect">
                      <a:avLst/>
                    </a:prstGeom>
                    <a:noFill/>
                  </pic:spPr>
                </pic:pic>
              </a:graphicData>
            </a:graphic>
          </wp:anchor>
        </w:drawing>
      </w:r>
    </w:p>
    <w:p>
      <w:pPr>
        <w:jc w:val="center"/>
        <w:rPr>
          <w:rFonts w:ascii="宋体" w:hAnsi="宋体" w:eastAsia="宋体"/>
          <w:b/>
          <w:bCs/>
          <w:sz w:val="48"/>
          <w:szCs w:val="48"/>
        </w:rPr>
      </w:pPr>
    </w:p>
    <w:p>
      <w:pPr>
        <w:jc w:val="center"/>
        <w:rPr>
          <w:rFonts w:ascii="宋体" w:hAnsi="宋体" w:eastAsia="宋体"/>
          <w:b/>
          <w:bCs/>
          <w:sz w:val="48"/>
          <w:szCs w:val="48"/>
        </w:rPr>
      </w:pPr>
    </w:p>
    <w:p>
      <w:pPr>
        <w:jc w:val="center"/>
        <w:rPr>
          <w:rFonts w:ascii="宋体" w:hAnsi="宋体" w:eastAsia="宋体"/>
          <w:b/>
          <w:bCs/>
          <w:sz w:val="48"/>
          <w:szCs w:val="48"/>
        </w:rPr>
      </w:pPr>
    </w:p>
    <w:p>
      <w:pPr>
        <w:jc w:val="center"/>
        <w:rPr>
          <w:rFonts w:ascii="宋体" w:hAnsi="宋体" w:eastAsia="宋体"/>
          <w:b/>
          <w:bCs/>
          <w:sz w:val="48"/>
          <w:szCs w:val="48"/>
        </w:rPr>
      </w:pPr>
    </w:p>
    <w:p>
      <w:pPr>
        <w:jc w:val="center"/>
        <w:rPr>
          <w:rFonts w:ascii="宋体" w:hAnsi="宋体" w:eastAsia="宋体"/>
          <w:b/>
          <w:bCs/>
          <w:sz w:val="48"/>
          <w:szCs w:val="48"/>
        </w:rPr>
      </w:pPr>
    </w:p>
    <w:p>
      <w:pPr>
        <w:jc w:val="center"/>
        <w:rPr>
          <w:rFonts w:hint="eastAsia" w:ascii="宋体" w:hAnsi="宋体" w:eastAsia="宋体"/>
          <w:b/>
          <w:bCs/>
          <w:sz w:val="48"/>
          <w:szCs w:val="48"/>
        </w:rPr>
      </w:pPr>
    </w:p>
    <w:p>
      <w:pPr>
        <w:jc w:val="center"/>
        <w:rPr>
          <w:rFonts w:ascii="宋体" w:hAnsi="宋体" w:eastAsia="宋体"/>
          <w:b/>
          <w:bCs/>
          <w:sz w:val="44"/>
          <w:szCs w:val="44"/>
        </w:rPr>
      </w:pPr>
      <w:r>
        <w:rPr>
          <w:rFonts w:hint="eastAsia" w:ascii="宋体" w:hAnsi="宋体" w:eastAsia="宋体"/>
          <w:b/>
          <w:bCs/>
          <w:sz w:val="44"/>
          <w:szCs w:val="44"/>
        </w:rPr>
        <w:t>资管行业变革下的财富管理新格局</w:t>
      </w:r>
    </w:p>
    <w:p>
      <w:pPr>
        <w:rPr>
          <w:rFonts w:ascii="宋体" w:hAnsi="宋体" w:eastAsia="宋体"/>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rPr>
          <w:b/>
          <w:bCs/>
        </w:rPr>
      </w:pPr>
    </w:p>
    <w:p>
      <w:pPr>
        <w:pStyle w:val="12"/>
        <w:tabs>
          <w:tab w:val="right" w:leader="dot" w:pos="8306"/>
        </w:tabs>
        <w:jc w:val="center"/>
        <w:rPr>
          <w:sz w:val="28"/>
          <w:szCs w:val="28"/>
        </w:rPr>
      </w:pPr>
      <w:r>
        <w:rPr>
          <w:rFonts w:hint="eastAsia"/>
          <w:sz w:val="28"/>
          <w:szCs w:val="28"/>
        </w:rPr>
        <w:t>第</w:t>
      </w:r>
      <w:r>
        <w:rPr>
          <w:rFonts w:hint="eastAsia"/>
          <w:sz w:val="28"/>
          <w:szCs w:val="28"/>
          <w:lang w:eastAsia="zh-CN"/>
        </w:rPr>
        <w:t>八</w:t>
      </w:r>
      <w:r>
        <w:rPr>
          <w:rFonts w:hint="eastAsia"/>
          <w:sz w:val="28"/>
          <w:szCs w:val="28"/>
        </w:rPr>
        <w:t>届普益标准财富论坛</w:t>
      </w:r>
    </w:p>
    <w:p>
      <w:pPr>
        <w:pStyle w:val="12"/>
        <w:tabs>
          <w:tab w:val="right" w:leader="dot" w:pos="8306"/>
        </w:tabs>
        <w:jc w:val="center"/>
        <w:rPr>
          <w:sz w:val="28"/>
          <w:szCs w:val="28"/>
        </w:rPr>
      </w:pPr>
      <w:r>
        <w:rPr>
          <w:rFonts w:hint="eastAsia"/>
          <w:sz w:val="28"/>
          <w:szCs w:val="28"/>
        </w:rPr>
        <w:t>二Ｏ一</w:t>
      </w:r>
      <w:r>
        <w:rPr>
          <w:rFonts w:hint="eastAsia"/>
          <w:sz w:val="28"/>
          <w:szCs w:val="28"/>
          <w:lang w:eastAsia="zh-CN"/>
        </w:rPr>
        <w:t>九</w:t>
      </w:r>
      <w:r>
        <w:rPr>
          <w:rFonts w:hint="eastAsia"/>
          <w:sz w:val="28"/>
          <w:szCs w:val="28"/>
        </w:rPr>
        <w:t>年</w:t>
      </w:r>
      <w:r>
        <w:rPr>
          <w:rFonts w:hint="eastAsia"/>
          <w:sz w:val="28"/>
          <w:szCs w:val="28"/>
          <w:lang w:eastAsia="zh-CN"/>
        </w:rPr>
        <w:t>九</w:t>
      </w:r>
      <w:r>
        <w:rPr>
          <w:rFonts w:hint="eastAsia"/>
          <w:sz w:val="28"/>
          <w:szCs w:val="28"/>
        </w:rPr>
        <w:t>月</w:t>
      </w:r>
    </w:p>
    <w:p>
      <w:pPr>
        <w:ind w:firstLine="1602" w:firstLineChars="500"/>
        <w:jc w:val="center"/>
        <w:rPr>
          <w:rFonts w:ascii="华文宋体" w:hAnsi="华文宋体"/>
          <w:b/>
          <w:bCs/>
          <w:sz w:val="32"/>
          <w:szCs w:val="32"/>
        </w:rPr>
        <w:sectPr>
          <w:pgSz w:w="11906" w:h="16838"/>
          <w:pgMar w:top="1440" w:right="1800" w:bottom="1440" w:left="1800" w:header="851" w:footer="992" w:gutter="0"/>
          <w:cols w:space="425" w:num="1"/>
          <w:docGrid w:type="lines" w:linePitch="312" w:charSpace="0"/>
        </w:sectPr>
      </w:pPr>
    </w:p>
    <w:p>
      <w:pPr>
        <w:ind w:firstLine="1602" w:firstLineChars="500"/>
        <w:jc w:val="center"/>
        <w:rPr>
          <w:rFonts w:ascii="华文宋体" w:hAnsi="华文宋体"/>
          <w:b/>
          <w:bCs/>
          <w:sz w:val="32"/>
          <w:szCs w:val="32"/>
        </w:rPr>
      </w:pPr>
    </w:p>
    <w:p>
      <w:pPr>
        <w:rPr>
          <w:rFonts w:ascii="华文宋体" w:hAnsi="华文宋体"/>
          <w:b/>
          <w:bCs/>
          <w:sz w:val="28"/>
          <w:szCs w:val="28"/>
        </w:rPr>
      </w:pPr>
      <w:r>
        <w:rPr>
          <w:rFonts w:hint="eastAsia" w:ascii="华文宋体" w:hAnsi="华文宋体"/>
          <w:b/>
          <w:bCs/>
          <w:sz w:val="28"/>
          <w:szCs w:val="28"/>
        </w:rPr>
        <w:t>主讲嘉宾：王卫东</w:t>
      </w:r>
    </w:p>
    <w:p>
      <w:pPr>
        <w:rPr>
          <w:rFonts w:hint="eastAsia" w:ascii="华文仿宋" w:hAnsi="华文仿宋"/>
          <w:bCs/>
          <w:szCs w:val="24"/>
        </w:rPr>
      </w:pPr>
      <w:r>
        <w:rPr>
          <w:rFonts w:hint="eastAsia" w:ascii="华文仿宋" w:hAnsi="华文仿宋"/>
          <w:bCs/>
          <w:szCs w:val="24"/>
        </w:rPr>
        <w:t>中银理财有限责任公司总裁</w:t>
      </w:r>
    </w:p>
    <w:p>
      <w:pPr>
        <w:rPr>
          <w:rFonts w:hint="eastAsia" w:ascii="华文仿宋" w:hAnsi="华文仿宋"/>
          <w:bCs/>
          <w:szCs w:val="24"/>
        </w:rPr>
      </w:pPr>
    </w:p>
    <w:p>
      <w:pPr>
        <w:ind w:firstLine="1802" w:firstLineChars="500"/>
        <w:jc w:val="center"/>
        <w:rPr>
          <w:rFonts w:ascii="华文宋体" w:hAnsi="华文宋体"/>
          <w:b/>
          <w:bCs/>
          <w:sz w:val="36"/>
          <w:szCs w:val="36"/>
        </w:rPr>
        <w:sectPr>
          <w:footerReference r:id="rId3" w:type="default"/>
          <w:pgSz w:w="11906" w:h="16838"/>
          <w:pgMar w:top="1440" w:right="1800" w:bottom="1440" w:left="1800" w:header="851" w:footer="992" w:gutter="0"/>
          <w:pgNumType w:start="1"/>
          <w:cols w:space="425" w:num="1"/>
          <w:docGrid w:type="lines" w:linePitch="312" w:charSpace="0"/>
        </w:sectPr>
      </w:pPr>
    </w:p>
    <w:sdt>
      <w:sdtPr>
        <w:rPr>
          <w:rFonts w:hint="eastAsia" w:ascii="Calibri" w:hAnsi="Calibri" w:eastAsia="华文仿宋" w:cs="Times New Roman"/>
          <w:b/>
          <w:bCs/>
          <w:color w:val="5B9BD5"/>
          <w:kern w:val="2"/>
          <w:sz w:val="32"/>
          <w:szCs w:val="32"/>
          <w:lang w:val="zh-CN" w:eastAsia="zh-CN" w:bidi="ar-SA"/>
        </w:rPr>
        <w:id w:val="1797635493"/>
        <w:docPartObj>
          <w:docPartGallery w:val="Table of Contents"/>
          <w:docPartUnique/>
        </w:docPartObj>
      </w:sdtPr>
      <w:sdtEndPr>
        <w:rPr>
          <w:rFonts w:hint="eastAsia" w:ascii="华文仿宋" w:hAnsi="华文仿宋" w:eastAsia="华文仿宋" w:cstheme="minorBidi"/>
          <w:b/>
          <w:bCs/>
          <w:color w:val="auto"/>
          <w:kern w:val="2"/>
          <w:sz w:val="24"/>
          <w:szCs w:val="24"/>
          <w:lang w:val="zh-CN" w:eastAsia="zh-CN" w:bidi="ar-SA"/>
        </w:rPr>
      </w:sdtEndPr>
      <w:sdtContent>
        <w:p>
          <w:pPr>
            <w:pStyle w:val="25"/>
            <w:jc w:val="center"/>
            <w:rPr>
              <w:rFonts w:hint="eastAsia" w:ascii="Calibri" w:hAnsi="Calibri" w:eastAsia="华文仿宋" w:cs="Times New Roman"/>
              <w:b/>
              <w:bCs/>
              <w:color w:val="5B9BD5"/>
              <w:kern w:val="2"/>
              <w:sz w:val="32"/>
              <w:szCs w:val="32"/>
              <w:lang w:val="en-US" w:eastAsia="zh-CN" w:bidi="ar-SA"/>
            </w:rPr>
          </w:pPr>
          <w:r>
            <w:rPr>
              <w:rFonts w:hint="eastAsia" w:ascii="Calibri" w:hAnsi="Calibri" w:eastAsia="华文仿宋" w:cs="Times New Roman"/>
              <w:b/>
              <w:bCs/>
              <w:color w:val="5B9BD5"/>
              <w:kern w:val="2"/>
              <w:sz w:val="32"/>
              <w:szCs w:val="32"/>
              <w:lang w:val="en-US" w:eastAsia="zh-CN" w:bidi="ar-SA"/>
            </w:rPr>
            <w:t>目 录</w:t>
          </w:r>
        </w:p>
        <w:p>
          <w:pPr>
            <w:pStyle w:val="12"/>
            <w:tabs>
              <w:tab w:val="right" w:leader="dot" w:pos="8306"/>
            </w:tabs>
          </w:pPr>
          <w:r>
            <w:rPr>
              <w:rFonts w:hint="default" w:ascii="Times New Roman" w:hAnsi="Times New Roman" w:cs="Times New Roman"/>
              <w:b/>
              <w:bCs/>
              <w:szCs w:val="24"/>
              <w:lang w:val="zh-CN"/>
            </w:rPr>
            <w:fldChar w:fldCharType="begin"/>
          </w:r>
          <w:r>
            <w:rPr>
              <w:rFonts w:hint="default" w:ascii="Times New Roman" w:hAnsi="Times New Roman" w:cs="Times New Roman"/>
              <w:b/>
              <w:bCs/>
              <w:szCs w:val="24"/>
              <w:lang w:val="zh-CN"/>
            </w:rPr>
            <w:instrText xml:space="preserve"> TOC \o "1-3" \h \z \u </w:instrText>
          </w:r>
          <w:r>
            <w:rPr>
              <w:rFonts w:hint="default" w:ascii="Times New Roman" w:hAnsi="Times New Roman" w:cs="Times New Roman"/>
              <w:b/>
              <w:bCs/>
              <w:szCs w:val="24"/>
              <w:lang w:val="zh-CN"/>
            </w:rPr>
            <w:fldChar w:fldCharType="separate"/>
          </w: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_Toc4693 </w:instrText>
          </w:r>
          <w:r>
            <w:rPr>
              <w:rFonts w:hint="default" w:ascii="Times New Roman" w:hAnsi="Times New Roman" w:cs="Times New Roman"/>
              <w:bCs/>
              <w:szCs w:val="24"/>
              <w:lang w:val="zh-CN"/>
            </w:rPr>
            <w:fldChar w:fldCharType="separate"/>
          </w:r>
          <w:r>
            <w:rPr>
              <w:rFonts w:hint="eastAsia"/>
            </w:rPr>
            <w:t>一、</w:t>
          </w:r>
          <w:r>
            <w:rPr>
              <w:rFonts w:hint="eastAsia" w:ascii="华文仿宋" w:hAnsi="华文仿宋" w:eastAsia="华文仿宋"/>
            </w:rPr>
            <w:t>全球资产管理业务的现状与特点</w:t>
          </w:r>
          <w:r>
            <w:tab/>
          </w:r>
          <w:r>
            <w:fldChar w:fldCharType="begin"/>
          </w:r>
          <w:r>
            <w:instrText xml:space="preserve"> PAGEREF _Toc4693 </w:instrText>
          </w:r>
          <w:r>
            <w:fldChar w:fldCharType="separate"/>
          </w:r>
          <w:r>
            <w:t>1</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_Toc30903 </w:instrText>
          </w:r>
          <w:r>
            <w:rPr>
              <w:rFonts w:hint="default" w:ascii="Times New Roman" w:hAnsi="Times New Roman" w:cs="Times New Roman"/>
              <w:bCs/>
              <w:szCs w:val="24"/>
              <w:lang w:val="zh-CN"/>
            </w:rPr>
            <w:fldChar w:fldCharType="separate"/>
          </w:r>
          <w:r>
            <w:rPr>
              <w:rFonts w:hint="eastAsia" w:ascii="华文仿宋" w:hAnsi="华文仿宋" w:eastAsia="华文仿宋"/>
            </w:rPr>
            <w:t>1.1</w:t>
          </w:r>
          <w:r>
            <w:rPr>
              <w:rFonts w:hint="eastAsia" w:ascii="华文仿宋" w:hAnsi="华文仿宋" w:eastAsia="华文仿宋"/>
              <w:lang w:eastAsia="zh-CN"/>
            </w:rPr>
            <w:t>全球资产管理业务概览</w:t>
          </w:r>
          <w:r>
            <w:tab/>
          </w:r>
          <w:r>
            <w:fldChar w:fldCharType="begin"/>
          </w:r>
          <w:r>
            <w:instrText xml:space="preserve"> PAGEREF _Toc30903 </w:instrText>
          </w:r>
          <w:r>
            <w:fldChar w:fldCharType="separate"/>
          </w:r>
          <w:r>
            <w:t>1</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_Toc24052 </w:instrText>
          </w:r>
          <w:r>
            <w:rPr>
              <w:rFonts w:hint="default" w:ascii="Times New Roman" w:hAnsi="Times New Roman" w:cs="Times New Roman"/>
              <w:bCs/>
              <w:szCs w:val="24"/>
              <w:lang w:val="zh-CN"/>
            </w:rPr>
            <w:fldChar w:fldCharType="separate"/>
          </w:r>
          <w:r>
            <w:rPr>
              <w:rFonts w:hint="eastAsia" w:ascii="华文仿宋" w:hAnsi="华文仿宋" w:eastAsia="华文仿宋"/>
            </w:rPr>
            <w:t>1.2</w:t>
          </w:r>
          <w:r>
            <w:rPr>
              <w:rFonts w:hint="eastAsia" w:ascii="华文仿宋" w:hAnsi="华文仿宋" w:eastAsia="华文仿宋"/>
              <w:lang w:eastAsia="zh-CN"/>
            </w:rPr>
            <w:t>全球头部资产管理机构概览</w:t>
          </w:r>
          <w:r>
            <w:tab/>
          </w:r>
          <w:r>
            <w:fldChar w:fldCharType="begin"/>
          </w:r>
          <w:r>
            <w:instrText xml:space="preserve"> PAGEREF _Toc24052 </w:instrText>
          </w:r>
          <w:r>
            <w:fldChar w:fldCharType="separate"/>
          </w:r>
          <w:r>
            <w:t>2</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_Toc11906 </w:instrText>
          </w:r>
          <w:r>
            <w:rPr>
              <w:rFonts w:hint="default" w:ascii="Times New Roman" w:hAnsi="Times New Roman" w:cs="Times New Roman"/>
              <w:bCs/>
              <w:szCs w:val="24"/>
              <w:lang w:val="zh-CN"/>
            </w:rPr>
            <w:fldChar w:fldCharType="separate"/>
          </w:r>
          <w:r>
            <w:rPr>
              <w:rFonts w:hint="eastAsia" w:ascii="华文仿宋" w:hAnsi="华文仿宋" w:eastAsia="华文仿宋"/>
            </w:rPr>
            <w:t>1</w:t>
          </w:r>
          <w:r>
            <w:rPr>
              <w:rFonts w:ascii="华文仿宋" w:hAnsi="华文仿宋" w:eastAsia="华文仿宋"/>
            </w:rPr>
            <w:t>.3</w:t>
          </w:r>
          <w:r>
            <w:rPr>
              <w:rFonts w:hint="eastAsia" w:ascii="华文仿宋" w:hAnsi="华文仿宋" w:eastAsia="华文仿宋"/>
              <w:lang w:eastAsia="zh-CN"/>
            </w:rPr>
            <w:t>全球</w:t>
          </w:r>
          <w:r>
            <w:rPr>
              <w:rFonts w:hint="eastAsia" w:ascii="华文仿宋" w:hAnsi="华文仿宋" w:eastAsia="华文仿宋"/>
            </w:rPr>
            <w:t>主要上市的资管公司</w:t>
          </w:r>
          <w:r>
            <w:rPr>
              <w:rFonts w:hint="eastAsia" w:ascii="华文仿宋" w:hAnsi="华文仿宋" w:eastAsia="华文仿宋"/>
              <w:lang w:eastAsia="zh-CN"/>
            </w:rPr>
            <w:t>比较</w:t>
          </w:r>
          <w:r>
            <w:tab/>
          </w:r>
          <w:r>
            <w:fldChar w:fldCharType="begin"/>
          </w:r>
          <w:r>
            <w:instrText xml:space="preserve"> PAGEREF _Toc11906 </w:instrText>
          </w:r>
          <w:r>
            <w:fldChar w:fldCharType="separate"/>
          </w:r>
          <w:r>
            <w:t>3</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_Toc8121 </w:instrText>
          </w:r>
          <w:r>
            <w:rPr>
              <w:rFonts w:hint="default" w:ascii="Times New Roman" w:hAnsi="Times New Roman" w:cs="Times New Roman"/>
              <w:bCs/>
              <w:szCs w:val="24"/>
              <w:lang w:val="zh-CN"/>
            </w:rPr>
            <w:fldChar w:fldCharType="separate"/>
          </w:r>
          <w:r>
            <w:rPr>
              <w:rFonts w:hint="eastAsia" w:ascii="华文仿宋" w:hAnsi="华文仿宋" w:eastAsia="华文仿宋"/>
            </w:rPr>
            <w:t>1</w:t>
          </w:r>
          <w:r>
            <w:rPr>
              <w:rFonts w:ascii="华文仿宋" w:hAnsi="华文仿宋" w:eastAsia="华文仿宋"/>
            </w:rPr>
            <w:t>.</w:t>
          </w:r>
          <w:r>
            <w:rPr>
              <w:rFonts w:hint="eastAsia" w:ascii="华文仿宋" w:hAnsi="华文仿宋" w:eastAsia="华文仿宋"/>
              <w:lang w:val="en-US" w:eastAsia="zh-CN"/>
            </w:rPr>
            <w:t>4</w:t>
          </w:r>
          <w:r>
            <w:rPr>
              <w:rFonts w:hint="eastAsia" w:ascii="华文仿宋" w:hAnsi="华文仿宋" w:eastAsia="华文仿宋"/>
              <w:lang w:eastAsia="zh-CN"/>
            </w:rPr>
            <w:t>全球资管业务的特点</w:t>
          </w:r>
          <w:r>
            <w:tab/>
          </w:r>
          <w:r>
            <w:fldChar w:fldCharType="begin"/>
          </w:r>
          <w:r>
            <w:instrText xml:space="preserve"> PAGEREF _Toc8121 </w:instrText>
          </w:r>
          <w:r>
            <w:fldChar w:fldCharType="separate"/>
          </w:r>
          <w:r>
            <w:t>3</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_Toc14435 </w:instrText>
          </w:r>
          <w:r>
            <w:rPr>
              <w:rFonts w:hint="default" w:ascii="Times New Roman" w:hAnsi="Times New Roman" w:cs="Times New Roman"/>
              <w:bCs/>
              <w:szCs w:val="24"/>
              <w:lang w:val="zh-CN"/>
            </w:rPr>
            <w:fldChar w:fldCharType="separate"/>
          </w:r>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1</w:t>
          </w:r>
          <w:r>
            <w:rPr>
              <w:rFonts w:hint="eastAsia" w:ascii="华文仿宋" w:hAnsi="华文仿宋" w:eastAsia="华文仿宋"/>
              <w:lang w:eastAsia="zh-CN"/>
            </w:rPr>
            <w:t>深耕本土市场，实现业务扩张</w:t>
          </w:r>
          <w:r>
            <w:tab/>
          </w:r>
          <w:r>
            <w:fldChar w:fldCharType="begin"/>
          </w:r>
          <w:r>
            <w:instrText xml:space="preserve"> PAGEREF _Toc14435 </w:instrText>
          </w:r>
          <w:r>
            <w:fldChar w:fldCharType="separate"/>
          </w:r>
          <w:r>
            <w:t>3</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_Toc10921 </w:instrText>
          </w:r>
          <w:r>
            <w:rPr>
              <w:rFonts w:hint="default" w:ascii="Times New Roman" w:hAnsi="Times New Roman" w:cs="Times New Roman"/>
              <w:bCs/>
              <w:szCs w:val="24"/>
              <w:lang w:val="zh-CN"/>
            </w:rPr>
            <w:fldChar w:fldCharType="separate"/>
          </w:r>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2</w:t>
          </w:r>
          <w:r>
            <w:rPr>
              <w:rFonts w:hint="eastAsia" w:ascii="华文仿宋" w:hAnsi="华文仿宋" w:eastAsia="华文仿宋"/>
              <w:lang w:eastAsia="zh-CN"/>
            </w:rPr>
            <w:t>机构业务为主，个人客户为辅</w:t>
          </w:r>
          <w:r>
            <w:tab/>
          </w:r>
          <w:r>
            <w:fldChar w:fldCharType="begin"/>
          </w:r>
          <w:r>
            <w:instrText xml:space="preserve"> PAGEREF _Toc10921 </w:instrText>
          </w:r>
          <w:r>
            <w:fldChar w:fldCharType="separate"/>
          </w:r>
          <w:r>
            <w:t>4</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_Toc23418 </w:instrText>
          </w:r>
          <w:r>
            <w:rPr>
              <w:rFonts w:hint="default" w:ascii="Times New Roman" w:hAnsi="Times New Roman" w:cs="Times New Roman"/>
              <w:bCs/>
              <w:szCs w:val="24"/>
              <w:lang w:val="zh-CN"/>
            </w:rPr>
            <w:fldChar w:fldCharType="separate"/>
          </w:r>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lang w:eastAsia="zh-CN"/>
            </w:rPr>
            <w:t>运营集约化，销售全球化</w:t>
          </w:r>
          <w:r>
            <w:tab/>
          </w:r>
          <w:r>
            <w:fldChar w:fldCharType="begin"/>
          </w:r>
          <w:r>
            <w:instrText xml:space="preserve"> PAGEREF _Toc23418 </w:instrText>
          </w:r>
          <w:r>
            <w:fldChar w:fldCharType="separate"/>
          </w:r>
          <w:r>
            <w:t>4</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_Toc15565 </w:instrText>
          </w:r>
          <w:r>
            <w:rPr>
              <w:rFonts w:hint="default" w:ascii="Times New Roman" w:hAnsi="Times New Roman" w:cs="Times New Roman"/>
              <w:bCs/>
              <w:szCs w:val="24"/>
              <w:lang w:val="zh-CN"/>
            </w:rPr>
            <w:fldChar w:fldCharType="separate"/>
          </w:r>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4</w:t>
          </w:r>
          <w:r>
            <w:rPr>
              <w:rFonts w:hint="eastAsia" w:ascii="华文仿宋" w:hAnsi="华文仿宋" w:eastAsia="华文仿宋"/>
              <w:lang w:eastAsia="zh-CN"/>
            </w:rPr>
            <w:t>资源投入较多，规模效应突出</w:t>
          </w:r>
          <w:r>
            <w:tab/>
          </w:r>
          <w:r>
            <w:fldChar w:fldCharType="begin"/>
          </w:r>
          <w:r>
            <w:instrText xml:space="preserve"> PAGEREF _Toc15565 </w:instrText>
          </w:r>
          <w:r>
            <w:fldChar w:fldCharType="separate"/>
          </w:r>
          <w:r>
            <w:t>4</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_Toc23919 </w:instrText>
          </w:r>
          <w:r>
            <w:rPr>
              <w:rFonts w:hint="default" w:ascii="Times New Roman" w:hAnsi="Times New Roman" w:cs="Times New Roman"/>
              <w:bCs/>
              <w:szCs w:val="24"/>
              <w:lang w:val="zh-CN"/>
            </w:rPr>
            <w:fldChar w:fldCharType="separate"/>
          </w:r>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5</w:t>
          </w:r>
          <w:r>
            <w:rPr>
              <w:rFonts w:hint="eastAsia" w:ascii="华文仿宋" w:hAnsi="华文仿宋" w:eastAsia="华文仿宋"/>
              <w:lang w:eastAsia="zh-CN"/>
            </w:rPr>
            <w:t>资管监管趋严，核心标准趋同</w:t>
          </w:r>
          <w:r>
            <w:tab/>
          </w:r>
          <w:r>
            <w:fldChar w:fldCharType="begin"/>
          </w:r>
          <w:r>
            <w:instrText xml:space="preserve"> PAGEREF _Toc23919 </w:instrText>
          </w:r>
          <w:r>
            <w:fldChar w:fldCharType="separate"/>
          </w:r>
          <w:r>
            <w:t>5</w:t>
          </w:r>
          <w:r>
            <w:fldChar w:fldCharType="end"/>
          </w:r>
          <w:r>
            <w:rPr>
              <w:rFonts w:hint="default" w:ascii="Times New Roman" w:hAnsi="Times New Roman" w:cs="Times New Roman"/>
              <w:bCs/>
              <w:szCs w:val="24"/>
              <w:lang w:val="zh-CN"/>
            </w:rPr>
            <w:fldChar w:fldCharType="end"/>
          </w:r>
        </w:p>
        <w:p>
          <w:pPr>
            <w:pStyle w:val="12"/>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_Toc3563 </w:instrText>
          </w:r>
          <w:r>
            <w:rPr>
              <w:rFonts w:hint="default" w:ascii="Times New Roman" w:hAnsi="Times New Roman" w:cs="Times New Roman"/>
              <w:bCs/>
              <w:szCs w:val="24"/>
              <w:lang w:val="zh-CN"/>
            </w:rPr>
            <w:fldChar w:fldCharType="separate"/>
          </w:r>
          <w:r>
            <w:rPr>
              <w:rFonts w:hint="eastAsia" w:ascii="华文仿宋" w:hAnsi="华文仿宋" w:eastAsia="华文仿宋"/>
            </w:rPr>
            <w:t>二、</w:t>
          </w:r>
          <w:r>
            <w:rPr>
              <w:rFonts w:hint="eastAsia" w:ascii="华文仿宋" w:hAnsi="华文仿宋" w:eastAsia="华文仿宋"/>
              <w:lang w:eastAsia="zh-CN"/>
            </w:rPr>
            <w:t>境</w:t>
          </w:r>
          <w:r>
            <w:rPr>
              <w:rFonts w:hint="eastAsia" w:ascii="华文仿宋" w:hAnsi="华文仿宋"/>
              <w:lang w:eastAsia="zh-CN"/>
            </w:rPr>
            <w:t>内</w:t>
          </w:r>
          <w:r>
            <w:rPr>
              <w:rFonts w:hint="eastAsia" w:ascii="华文仿宋" w:hAnsi="华文仿宋" w:eastAsia="华文仿宋"/>
              <w:lang w:eastAsia="zh-CN"/>
            </w:rPr>
            <w:t>资产管理业务的现状及发展趋势</w:t>
          </w:r>
          <w:r>
            <w:tab/>
          </w:r>
          <w:r>
            <w:fldChar w:fldCharType="begin"/>
          </w:r>
          <w:r>
            <w:instrText xml:space="preserve"> PAGEREF _Toc3563 </w:instrText>
          </w:r>
          <w:r>
            <w:fldChar w:fldCharType="separate"/>
          </w:r>
          <w:r>
            <w:t>6</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_Toc25794 </w:instrText>
          </w:r>
          <w:r>
            <w:rPr>
              <w:rFonts w:hint="default" w:ascii="Times New Roman" w:hAnsi="Times New Roman" w:cs="Times New Roman"/>
              <w:bCs/>
              <w:szCs w:val="24"/>
              <w:lang w:val="zh-CN"/>
            </w:rPr>
            <w:fldChar w:fldCharType="separate"/>
          </w:r>
          <w:r>
            <w:rPr>
              <w:rFonts w:hint="eastAsia" w:ascii="华文仿宋" w:hAnsi="华文仿宋" w:eastAsia="华文仿宋"/>
            </w:rPr>
            <w:t>2.1我国居民金融资产配置发展空间</w:t>
          </w:r>
          <w:r>
            <w:rPr>
              <w:rFonts w:hint="eastAsia" w:ascii="华文仿宋" w:hAnsi="华文仿宋" w:eastAsia="华文仿宋"/>
              <w:lang w:eastAsia="zh-CN"/>
            </w:rPr>
            <w:t>广阔</w:t>
          </w:r>
          <w:r>
            <w:tab/>
          </w:r>
          <w:r>
            <w:fldChar w:fldCharType="begin"/>
          </w:r>
          <w:r>
            <w:instrText xml:space="preserve"> PAGEREF _Toc25794 </w:instrText>
          </w:r>
          <w:r>
            <w:fldChar w:fldCharType="separate"/>
          </w:r>
          <w:r>
            <w:t>6</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_Toc2310 </w:instrText>
          </w:r>
          <w:r>
            <w:rPr>
              <w:rFonts w:hint="default" w:ascii="Times New Roman" w:hAnsi="Times New Roman" w:cs="Times New Roman"/>
              <w:bCs/>
              <w:szCs w:val="24"/>
              <w:lang w:val="zh-CN"/>
            </w:rPr>
            <w:fldChar w:fldCharType="separate"/>
          </w:r>
          <w:r>
            <w:rPr>
              <w:rFonts w:hint="eastAsia" w:ascii="华文仿宋" w:hAnsi="华文仿宋" w:eastAsia="华文仿宋"/>
            </w:rPr>
            <w:t>2.2境内资产管理业务概览</w:t>
          </w:r>
          <w:r>
            <w:tab/>
          </w:r>
          <w:r>
            <w:fldChar w:fldCharType="begin"/>
          </w:r>
          <w:r>
            <w:instrText xml:space="preserve"> PAGEREF _Toc2310 </w:instrText>
          </w:r>
          <w:r>
            <w:fldChar w:fldCharType="separate"/>
          </w:r>
          <w:r>
            <w:t>7</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_Toc15564 </w:instrText>
          </w:r>
          <w:r>
            <w:rPr>
              <w:rFonts w:hint="default" w:ascii="Times New Roman" w:hAnsi="Times New Roman" w:cs="Times New Roman"/>
              <w:bCs/>
              <w:szCs w:val="24"/>
              <w:lang w:val="zh-CN"/>
            </w:rPr>
            <w:fldChar w:fldCharType="separate"/>
          </w:r>
          <w:r>
            <w:rPr>
              <w:rFonts w:hint="eastAsia" w:ascii="华文仿宋" w:hAnsi="华文仿宋" w:eastAsia="华文仿宋"/>
            </w:rPr>
            <w:t>2.3境内资产管理业务特点</w:t>
          </w:r>
          <w:r>
            <w:tab/>
          </w:r>
          <w:r>
            <w:fldChar w:fldCharType="begin"/>
          </w:r>
          <w:r>
            <w:instrText xml:space="preserve"> PAGEREF _Toc15564 </w:instrText>
          </w:r>
          <w:r>
            <w:fldChar w:fldCharType="separate"/>
          </w:r>
          <w:r>
            <w:t>9</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_Toc12020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1</w:t>
          </w:r>
          <w:r>
            <w:rPr>
              <w:rFonts w:hint="eastAsia" w:ascii="华文仿宋" w:hAnsi="华文仿宋" w:eastAsia="华文仿宋"/>
              <w:lang w:eastAsia="zh-CN"/>
            </w:rPr>
            <w:t>银行等债券投资占比较高</w:t>
          </w:r>
          <w:r>
            <w:tab/>
          </w:r>
          <w:r>
            <w:fldChar w:fldCharType="begin"/>
          </w:r>
          <w:r>
            <w:instrText xml:space="preserve"> PAGEREF _Toc12020 </w:instrText>
          </w:r>
          <w:r>
            <w:fldChar w:fldCharType="separate"/>
          </w:r>
          <w:r>
            <w:t>9</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_Toc8831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2大资管政策趋严</w:t>
          </w:r>
          <w:r>
            <w:tab/>
          </w:r>
          <w:r>
            <w:fldChar w:fldCharType="begin"/>
          </w:r>
          <w:r>
            <w:instrText xml:space="preserve"> PAGEREF _Toc8831 </w:instrText>
          </w:r>
          <w:r>
            <w:fldChar w:fldCharType="separate"/>
          </w:r>
          <w:r>
            <w:t>10</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_Toc21127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3子行业要求趋向统一</w:t>
          </w:r>
          <w:r>
            <w:tab/>
          </w:r>
          <w:r>
            <w:fldChar w:fldCharType="begin"/>
          </w:r>
          <w:r>
            <w:instrText xml:space="preserve"> PAGEREF _Toc21127 </w:instrText>
          </w:r>
          <w:r>
            <w:fldChar w:fldCharType="separate"/>
          </w:r>
          <w:r>
            <w:t>11</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_Toc10340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4加快金融双向开放</w:t>
          </w:r>
          <w:r>
            <w:tab/>
          </w:r>
          <w:r>
            <w:fldChar w:fldCharType="begin"/>
          </w:r>
          <w:r>
            <w:instrText xml:space="preserve"> PAGEREF _Toc10340 </w:instrText>
          </w:r>
          <w:r>
            <w:fldChar w:fldCharType="separate"/>
          </w:r>
          <w:r>
            <w:t>12</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_Toc8990 </w:instrText>
          </w:r>
          <w:r>
            <w:rPr>
              <w:rFonts w:hint="default" w:ascii="Times New Roman" w:hAnsi="Times New Roman" w:cs="Times New Roman"/>
              <w:bCs/>
              <w:szCs w:val="24"/>
              <w:lang w:val="zh-CN"/>
            </w:rPr>
            <w:fldChar w:fldCharType="separate"/>
          </w:r>
          <w:r>
            <w:rPr>
              <w:rFonts w:hint="eastAsia" w:ascii="华文仿宋" w:hAnsi="华文仿宋" w:eastAsia="华文仿宋"/>
            </w:rPr>
            <w:t>2.4境内资管业务发展趋势分析</w:t>
          </w:r>
          <w:r>
            <w:tab/>
          </w:r>
          <w:r>
            <w:fldChar w:fldCharType="begin"/>
          </w:r>
          <w:r>
            <w:instrText xml:space="preserve"> PAGEREF _Toc8990 </w:instrText>
          </w:r>
          <w:r>
            <w:fldChar w:fldCharType="separate"/>
          </w:r>
          <w:r>
            <w:t>13</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_Toc29556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1发展机遇</w:t>
          </w:r>
          <w:r>
            <w:tab/>
          </w:r>
          <w:r>
            <w:fldChar w:fldCharType="begin"/>
          </w:r>
          <w:r>
            <w:instrText xml:space="preserve"> PAGEREF _Toc29556 </w:instrText>
          </w:r>
          <w:r>
            <w:fldChar w:fldCharType="separate"/>
          </w:r>
          <w:r>
            <w:t>13</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_Toc24726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2面临挑战</w:t>
          </w:r>
          <w:r>
            <w:tab/>
          </w:r>
          <w:r>
            <w:fldChar w:fldCharType="begin"/>
          </w:r>
          <w:r>
            <w:instrText xml:space="preserve"> PAGEREF _Toc24726 </w:instrText>
          </w:r>
          <w:r>
            <w:fldChar w:fldCharType="separate"/>
          </w:r>
          <w:r>
            <w:t>13</w:t>
          </w:r>
          <w:r>
            <w:fldChar w:fldCharType="end"/>
          </w:r>
          <w:r>
            <w:rPr>
              <w:rFonts w:hint="default" w:ascii="Times New Roman" w:hAnsi="Times New Roman" w:cs="Times New Roman"/>
              <w:bCs/>
              <w:szCs w:val="24"/>
              <w:lang w:val="zh-CN"/>
            </w:rPr>
            <w:fldChar w:fldCharType="end"/>
          </w:r>
        </w:p>
        <w:p>
          <w:pPr>
            <w:pStyle w:val="12"/>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_Toc24501 </w:instrText>
          </w:r>
          <w:r>
            <w:rPr>
              <w:rFonts w:hint="default" w:ascii="Times New Roman" w:hAnsi="Times New Roman" w:cs="Times New Roman"/>
              <w:bCs/>
              <w:szCs w:val="24"/>
              <w:lang w:val="zh-CN"/>
            </w:rPr>
            <w:fldChar w:fldCharType="separate"/>
          </w:r>
          <w:r>
            <w:rPr>
              <w:rFonts w:hint="eastAsia" w:ascii="华文仿宋" w:hAnsi="华文仿宋" w:eastAsia="华文仿宋"/>
            </w:rPr>
            <w:t>三、银行理财业务的现状及展望</w:t>
          </w:r>
          <w:r>
            <w:tab/>
          </w:r>
          <w:r>
            <w:fldChar w:fldCharType="begin"/>
          </w:r>
          <w:r>
            <w:instrText xml:space="preserve"> PAGEREF _Toc24501 </w:instrText>
          </w:r>
          <w:r>
            <w:fldChar w:fldCharType="separate"/>
          </w:r>
          <w:r>
            <w:t>14</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_Toc11253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3.1</w:t>
          </w:r>
          <w:r>
            <w:rPr>
              <w:rFonts w:hint="eastAsia" w:ascii="华文仿宋" w:hAnsi="华文仿宋" w:eastAsia="华文仿宋"/>
            </w:rPr>
            <w:t>银行理财</w:t>
          </w:r>
          <w:r>
            <w:rPr>
              <w:rFonts w:hint="eastAsia" w:ascii="华文仿宋" w:hAnsi="华文仿宋" w:eastAsia="华文仿宋"/>
              <w:lang w:eastAsia="zh-CN"/>
            </w:rPr>
            <w:t>业务概览</w:t>
          </w:r>
          <w:r>
            <w:tab/>
          </w:r>
          <w:r>
            <w:fldChar w:fldCharType="begin"/>
          </w:r>
          <w:r>
            <w:instrText xml:space="preserve"> PAGEREF _Toc11253 </w:instrText>
          </w:r>
          <w:r>
            <w:fldChar w:fldCharType="separate"/>
          </w:r>
          <w:r>
            <w:t>14</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_Toc21191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3.2</w:t>
          </w:r>
          <w:r>
            <w:rPr>
              <w:rFonts w:hint="eastAsia" w:ascii="华文仿宋" w:hAnsi="华文仿宋" w:eastAsia="华文仿宋"/>
              <w:lang w:eastAsia="zh-CN"/>
            </w:rPr>
            <w:t>存续银行理财产品特点</w:t>
          </w:r>
          <w:r>
            <w:tab/>
          </w:r>
          <w:r>
            <w:fldChar w:fldCharType="begin"/>
          </w:r>
          <w:r>
            <w:instrText xml:space="preserve"> PAGEREF _Toc21191 </w:instrText>
          </w:r>
          <w:r>
            <w:fldChar w:fldCharType="separate"/>
          </w:r>
          <w:r>
            <w:t>15</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_Toc16972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3.3</w:t>
          </w:r>
          <w:r>
            <w:rPr>
              <w:rFonts w:hint="eastAsia" w:ascii="华文仿宋" w:hAnsi="华文仿宋" w:eastAsia="华文仿宋"/>
              <w:lang w:eastAsia="zh-CN"/>
            </w:rPr>
            <w:t>新发行银行理财产品特点</w:t>
          </w:r>
          <w:r>
            <w:tab/>
          </w:r>
          <w:r>
            <w:fldChar w:fldCharType="begin"/>
          </w:r>
          <w:r>
            <w:instrText xml:space="preserve"> PAGEREF _Toc16972 </w:instrText>
          </w:r>
          <w:r>
            <w:fldChar w:fldCharType="separate"/>
          </w:r>
          <w:r>
            <w:t>17</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_Toc29631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3.3.1</w:t>
          </w:r>
          <w:r>
            <w:rPr>
              <w:rFonts w:hint="eastAsia" w:ascii="华文仿宋" w:hAnsi="华文仿宋" w:eastAsia="华文仿宋"/>
              <w:lang w:eastAsia="zh-CN"/>
            </w:rPr>
            <w:t>开放式产品募集资金占比较高</w:t>
          </w:r>
          <w:r>
            <w:tab/>
          </w:r>
          <w:r>
            <w:fldChar w:fldCharType="begin"/>
          </w:r>
          <w:r>
            <w:instrText xml:space="preserve"> PAGEREF _Toc29631 </w:instrText>
          </w:r>
          <w:r>
            <w:fldChar w:fldCharType="separate"/>
          </w:r>
          <w:r>
            <w:t>17</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_Toc7057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3.3.2</w:t>
          </w:r>
          <w:r>
            <w:rPr>
              <w:rFonts w:hint="eastAsia" w:ascii="华文仿宋" w:hAnsi="华文仿宋" w:eastAsia="华文仿宋"/>
              <w:lang w:eastAsia="zh-CN"/>
            </w:rPr>
            <w:t>新发行封闭式理财产品平均期限增加</w:t>
          </w:r>
          <w:r>
            <w:tab/>
          </w:r>
          <w:r>
            <w:fldChar w:fldCharType="begin"/>
          </w:r>
          <w:r>
            <w:instrText xml:space="preserve"> PAGEREF _Toc7057 </w:instrText>
          </w:r>
          <w:r>
            <w:fldChar w:fldCharType="separate"/>
          </w:r>
          <w:r>
            <w:t>17</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_Toc31496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3.3.3</w:t>
          </w:r>
          <w:r>
            <w:rPr>
              <w:rFonts w:hint="eastAsia" w:ascii="华文仿宋" w:hAnsi="华文仿宋" w:eastAsia="华文仿宋"/>
              <w:lang w:eastAsia="zh-CN"/>
            </w:rPr>
            <w:t>面向个人投资者的产品募集资金占80%</w:t>
          </w:r>
          <w:r>
            <w:tab/>
          </w:r>
          <w:r>
            <w:fldChar w:fldCharType="begin"/>
          </w:r>
          <w:r>
            <w:instrText xml:space="preserve"> PAGEREF _Toc31496 </w:instrText>
          </w:r>
          <w:r>
            <w:fldChar w:fldCharType="separate"/>
          </w:r>
          <w:r>
            <w:t>18</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_Toc30096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3.3.4</w:t>
          </w:r>
          <w:r>
            <w:rPr>
              <w:rFonts w:hint="eastAsia" w:ascii="华文仿宋" w:hAnsi="华文仿宋" w:eastAsia="华文仿宋"/>
              <w:lang w:eastAsia="zh-CN"/>
            </w:rPr>
            <w:t>新发行理财产品以中低风险产品为主</w:t>
          </w:r>
          <w:r>
            <w:tab/>
          </w:r>
          <w:r>
            <w:fldChar w:fldCharType="begin"/>
          </w:r>
          <w:r>
            <w:instrText xml:space="preserve"> PAGEREF _Toc30096 </w:instrText>
          </w:r>
          <w:r>
            <w:fldChar w:fldCharType="separate"/>
          </w:r>
          <w:r>
            <w:t>18</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_Toc8737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3.4</w:t>
          </w:r>
          <w:r>
            <w:rPr>
              <w:rFonts w:hint="eastAsia" w:ascii="华文仿宋" w:hAnsi="华文仿宋" w:eastAsia="华文仿宋"/>
              <w:lang w:eastAsia="zh-CN"/>
            </w:rPr>
            <w:t>银行理财发展方向—理财子公司</w:t>
          </w:r>
          <w:r>
            <w:tab/>
          </w:r>
          <w:r>
            <w:fldChar w:fldCharType="begin"/>
          </w:r>
          <w:r>
            <w:instrText xml:space="preserve"> PAGEREF _Toc8737 </w:instrText>
          </w:r>
          <w:r>
            <w:fldChar w:fldCharType="separate"/>
          </w:r>
          <w:r>
            <w:t>18</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_Toc21283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3.5</w:t>
          </w:r>
          <w:r>
            <w:rPr>
              <w:rFonts w:hint="eastAsia" w:ascii="华文仿宋" w:hAnsi="华文仿宋" w:eastAsia="华文仿宋"/>
              <w:lang w:eastAsia="zh-CN"/>
            </w:rPr>
            <w:t>银行理财子公司的设立情况</w:t>
          </w:r>
          <w:r>
            <w:tab/>
          </w:r>
          <w:r>
            <w:fldChar w:fldCharType="begin"/>
          </w:r>
          <w:r>
            <w:instrText xml:space="preserve"> PAGEREF _Toc21283 </w:instrText>
          </w:r>
          <w:r>
            <w:fldChar w:fldCharType="separate"/>
          </w:r>
          <w:r>
            <w:t>19</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_Toc14959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3.6</w:t>
          </w:r>
          <w:r>
            <w:rPr>
              <w:rFonts w:hint="eastAsia" w:ascii="华文仿宋" w:hAnsi="华文仿宋" w:eastAsia="华文仿宋"/>
              <w:lang w:eastAsia="zh-CN"/>
            </w:rPr>
            <w:t>银行理财市场展望—将长期处于资管行业主导地位</w:t>
          </w:r>
          <w:r>
            <w:tab/>
          </w:r>
          <w:r>
            <w:fldChar w:fldCharType="begin"/>
          </w:r>
          <w:r>
            <w:instrText xml:space="preserve"> PAGEREF _Toc14959 </w:instrText>
          </w:r>
          <w:r>
            <w:fldChar w:fldCharType="separate"/>
          </w:r>
          <w:r>
            <w:t>21</w:t>
          </w:r>
          <w:r>
            <w:fldChar w:fldCharType="end"/>
          </w:r>
          <w:r>
            <w:rPr>
              <w:rFonts w:hint="default" w:ascii="Times New Roman" w:hAnsi="Times New Roman" w:cs="Times New Roman"/>
              <w:bCs/>
              <w:szCs w:val="24"/>
              <w:lang w:val="zh-CN"/>
            </w:rPr>
            <w:fldChar w:fldCharType="end"/>
          </w:r>
        </w:p>
        <w:p>
          <w:pPr>
            <w:pStyle w:val="12"/>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_Toc31302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四</w:t>
          </w:r>
          <w:r>
            <w:rPr>
              <w:rFonts w:hint="eastAsia" w:ascii="华文仿宋" w:hAnsi="华文仿宋" w:eastAsia="华文仿宋"/>
            </w:rPr>
            <w:t>、</w:t>
          </w:r>
          <w:r>
            <w:rPr>
              <w:rFonts w:hint="eastAsia" w:ascii="华文仿宋" w:hAnsi="华文仿宋" w:eastAsia="华文仿宋"/>
              <w:lang w:eastAsia="zh-CN"/>
            </w:rPr>
            <w:t>中银理财的探索和实践</w:t>
          </w:r>
          <w:r>
            <w:tab/>
          </w:r>
          <w:r>
            <w:fldChar w:fldCharType="begin"/>
          </w:r>
          <w:r>
            <w:instrText xml:space="preserve"> PAGEREF _Toc31302 </w:instrText>
          </w:r>
          <w:r>
            <w:fldChar w:fldCharType="separate"/>
          </w:r>
          <w:r>
            <w:t>22</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_Toc27519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4.1</w:t>
          </w:r>
          <w:r>
            <w:rPr>
              <w:rFonts w:hint="eastAsia" w:ascii="华文仿宋" w:hAnsi="华文仿宋" w:eastAsia="华文仿宋"/>
              <w:lang w:eastAsia="zh-CN"/>
            </w:rPr>
            <w:t>中银理财的成长历程</w:t>
          </w:r>
          <w:r>
            <w:tab/>
          </w:r>
          <w:r>
            <w:fldChar w:fldCharType="begin"/>
          </w:r>
          <w:r>
            <w:instrText xml:space="preserve"> PAGEREF _Toc27519 </w:instrText>
          </w:r>
          <w:r>
            <w:fldChar w:fldCharType="separate"/>
          </w:r>
          <w:r>
            <w:t>22</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_Toc4045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4.2</w:t>
          </w:r>
          <w:r>
            <w:rPr>
              <w:rFonts w:hint="eastAsia" w:ascii="华文仿宋" w:hAnsi="华文仿宋" w:eastAsia="华文仿宋"/>
              <w:lang w:eastAsia="zh-CN"/>
            </w:rPr>
            <w:t>中国银行资管业务的集团协同</w:t>
          </w:r>
          <w:r>
            <w:tab/>
          </w:r>
          <w:r>
            <w:fldChar w:fldCharType="begin"/>
          </w:r>
          <w:r>
            <w:instrText xml:space="preserve"> PAGEREF _Toc4045 </w:instrText>
          </w:r>
          <w:r>
            <w:fldChar w:fldCharType="separate"/>
          </w:r>
          <w:r>
            <w:t>22</w:t>
          </w:r>
          <w:r>
            <w:fldChar w:fldCharType="end"/>
          </w:r>
          <w:r>
            <w:rPr>
              <w:rFonts w:hint="default" w:ascii="Times New Roman" w:hAnsi="Times New Roman" w:cs="Times New Roman"/>
              <w:bCs/>
              <w:szCs w:val="24"/>
              <w:lang w:val="zh-CN"/>
            </w:rPr>
            <w:fldChar w:fldCharType="end"/>
          </w:r>
        </w:p>
        <w:p>
          <w:pPr>
            <w:pStyle w:val="13"/>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_Toc23653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4.3</w:t>
          </w:r>
          <w:r>
            <w:rPr>
              <w:rFonts w:hint="eastAsia" w:ascii="华文仿宋" w:hAnsi="华文仿宋" w:eastAsia="华文仿宋"/>
              <w:lang w:eastAsia="zh-CN"/>
            </w:rPr>
            <w:t>中银理财的特点</w:t>
          </w:r>
          <w:r>
            <w:tab/>
          </w:r>
          <w:r>
            <w:fldChar w:fldCharType="begin"/>
          </w:r>
          <w:r>
            <w:instrText xml:space="preserve"> PAGEREF _Toc23653 </w:instrText>
          </w:r>
          <w:r>
            <w:fldChar w:fldCharType="separate"/>
          </w:r>
          <w:r>
            <w:t>23</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_Toc9667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1全方位资产覆盖</w:t>
          </w:r>
          <w:r>
            <w:tab/>
          </w:r>
          <w:r>
            <w:fldChar w:fldCharType="begin"/>
          </w:r>
          <w:r>
            <w:instrText xml:space="preserve"> PAGEREF _Toc9667 </w:instrText>
          </w:r>
          <w:r>
            <w:fldChar w:fldCharType="separate"/>
          </w:r>
          <w:r>
            <w:t>23</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_Toc26918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2领先的跨境服务</w:t>
          </w:r>
          <w:r>
            <w:tab/>
          </w:r>
          <w:r>
            <w:fldChar w:fldCharType="begin"/>
          </w:r>
          <w:r>
            <w:instrText xml:space="preserve"> PAGEREF _Toc26918 </w:instrText>
          </w:r>
          <w:r>
            <w:fldChar w:fldCharType="separate"/>
          </w:r>
          <w:r>
            <w:t>23</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_Toc31159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3丰富的产品体系</w:t>
          </w:r>
          <w:r>
            <w:tab/>
          </w:r>
          <w:r>
            <w:fldChar w:fldCharType="begin"/>
          </w:r>
          <w:r>
            <w:instrText xml:space="preserve"> PAGEREF _Toc31159 </w:instrText>
          </w:r>
          <w:r>
            <w:fldChar w:fldCharType="separate"/>
          </w:r>
          <w:r>
            <w:t>24</w:t>
          </w:r>
          <w:r>
            <w:fldChar w:fldCharType="end"/>
          </w:r>
          <w:r>
            <w:rPr>
              <w:rFonts w:hint="default" w:ascii="Times New Roman" w:hAnsi="Times New Roman" w:cs="Times New Roman"/>
              <w:bCs/>
              <w:szCs w:val="24"/>
              <w:lang w:val="zh-CN"/>
            </w:rPr>
            <w:fldChar w:fldCharType="end"/>
          </w:r>
        </w:p>
        <w:p>
          <w:pPr>
            <w:pStyle w:val="7"/>
            <w:tabs>
              <w:tab w:val="right" w:leader="dot" w:pos="8306"/>
            </w:tabs>
          </w:pPr>
          <w:r>
            <w:rPr>
              <w:rFonts w:hint="default" w:ascii="Times New Roman" w:hAnsi="Times New Roman" w:cs="Times New Roman"/>
              <w:bCs/>
              <w:szCs w:val="24"/>
              <w:lang w:val="zh-CN"/>
            </w:rPr>
            <w:fldChar w:fldCharType="begin"/>
          </w:r>
          <w:r>
            <w:rPr>
              <w:rFonts w:hint="default" w:ascii="Times New Roman" w:hAnsi="Times New Roman" w:cs="Times New Roman"/>
              <w:bCs/>
              <w:szCs w:val="24"/>
              <w:lang w:val="zh-CN"/>
            </w:rPr>
            <w:instrText xml:space="preserve"> HYPERLINK \l _Toc19526 </w:instrText>
          </w:r>
          <w:r>
            <w:rPr>
              <w:rFonts w:hint="default" w:ascii="Times New Roman" w:hAnsi="Times New Roman" w:cs="Times New Roman"/>
              <w:bCs/>
              <w:szCs w:val="24"/>
              <w:lang w:val="zh-CN"/>
            </w:rPr>
            <w:fldChar w:fldCharType="separate"/>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4科技引领转型</w:t>
          </w:r>
          <w:r>
            <w:tab/>
          </w:r>
          <w:r>
            <w:fldChar w:fldCharType="begin"/>
          </w:r>
          <w:r>
            <w:instrText xml:space="preserve"> PAGEREF _Toc19526 </w:instrText>
          </w:r>
          <w:r>
            <w:fldChar w:fldCharType="separate"/>
          </w:r>
          <w:r>
            <w:t>24</w:t>
          </w:r>
          <w:r>
            <w:fldChar w:fldCharType="end"/>
          </w:r>
          <w:r>
            <w:rPr>
              <w:rFonts w:hint="default" w:ascii="Times New Roman" w:hAnsi="Times New Roman" w:cs="Times New Roman"/>
              <w:bCs/>
              <w:szCs w:val="24"/>
              <w:lang w:val="zh-CN"/>
            </w:rPr>
            <w:fldChar w:fldCharType="end"/>
          </w:r>
        </w:p>
        <w:p>
          <w:pPr>
            <w:rPr>
              <w:rFonts w:ascii="华文仿宋" w:hAnsi="华文仿宋"/>
              <w:szCs w:val="24"/>
            </w:rPr>
          </w:pPr>
          <w:r>
            <w:rPr>
              <w:rFonts w:hint="default" w:ascii="Times New Roman" w:hAnsi="Times New Roman" w:cs="Times New Roman"/>
              <w:bCs/>
              <w:szCs w:val="24"/>
              <w:lang w:val="zh-CN"/>
            </w:rPr>
            <w:fldChar w:fldCharType="end"/>
          </w:r>
        </w:p>
      </w:sdtContent>
    </w:sdt>
    <w:p>
      <w:pPr>
        <w:widowControl/>
        <w:jc w:val="left"/>
        <w:rPr>
          <w:rFonts w:ascii="华文宋体" w:hAnsi="华文宋体" w:eastAsia="宋体"/>
          <w:b/>
          <w:bCs/>
          <w:kern w:val="44"/>
          <w:sz w:val="36"/>
          <w:szCs w:val="36"/>
        </w:rPr>
      </w:pPr>
    </w:p>
    <w:p>
      <w:pPr>
        <w:ind w:firstLine="720" w:firstLineChars="300"/>
        <w:sectPr>
          <w:headerReference r:id="rId4" w:type="default"/>
          <w:footerReference r:id="rId5" w:type="default"/>
          <w:pgSz w:w="11906" w:h="16838"/>
          <w:pgMar w:top="1440" w:right="1800" w:bottom="1440" w:left="1800" w:header="851" w:footer="992" w:gutter="0"/>
          <w:cols w:space="425" w:num="1"/>
          <w:docGrid w:type="lines" w:linePitch="312" w:charSpace="0"/>
        </w:sectPr>
      </w:pPr>
    </w:p>
    <w:p>
      <w:pPr>
        <w:pStyle w:val="2"/>
        <w:rPr>
          <w:rFonts w:ascii="华文仿宋" w:hAnsi="华文仿宋" w:eastAsia="华文仿宋"/>
        </w:rPr>
      </w:pPr>
      <w:bookmarkStart w:id="0" w:name="_Toc4693"/>
      <w:r>
        <w:rPr>
          <w:rFonts w:hint="eastAsia"/>
        </w:rPr>
        <w:t>一、</w:t>
      </w:r>
      <w:r>
        <w:rPr>
          <w:rFonts w:hint="eastAsia" w:ascii="华文仿宋" w:hAnsi="华文仿宋" w:eastAsia="华文仿宋"/>
        </w:rPr>
        <w:t>全球资产管理业务的现状与特点</w:t>
      </w:r>
      <w:bookmarkEnd w:id="0"/>
    </w:p>
    <w:p>
      <w:pPr>
        <w:pStyle w:val="3"/>
        <w:rPr>
          <w:rFonts w:hint="eastAsia" w:ascii="华文仿宋" w:hAnsi="华文仿宋" w:eastAsia="华文仿宋"/>
          <w:lang w:eastAsia="zh-CN"/>
        </w:rPr>
      </w:pPr>
      <w:bookmarkStart w:id="1" w:name="_Toc30903"/>
      <w:r>
        <w:rPr>
          <w:rFonts w:hint="eastAsia" w:ascii="华文仿宋" w:hAnsi="华文仿宋" w:eastAsia="华文仿宋"/>
        </w:rPr>
        <w:t>1.1</w:t>
      </w:r>
      <w:r>
        <w:rPr>
          <w:rFonts w:hint="eastAsia" w:ascii="华文仿宋" w:hAnsi="华文仿宋" w:eastAsia="华文仿宋"/>
          <w:lang w:eastAsia="zh-CN"/>
        </w:rPr>
        <w:t>全球资产管理业务概览</w:t>
      </w:r>
      <w:bookmarkEnd w:id="1"/>
    </w:p>
    <w:p>
      <w:pPr>
        <w:ind w:firstLine="480" w:firstLineChars="200"/>
        <w:rPr>
          <w:rFonts w:hint="default" w:ascii="华文仿宋" w:hAnsi="华文仿宋" w:eastAsia="华文仿宋"/>
          <w:bCs/>
          <w:lang w:val="en-US" w:eastAsia="zh-CN"/>
        </w:rPr>
      </w:pPr>
      <w:r>
        <w:rPr>
          <w:rFonts w:hint="eastAsia" w:ascii="华文仿宋" w:hAnsi="华文仿宋"/>
          <w:bCs/>
          <w:lang w:eastAsia="zh-CN"/>
        </w:rPr>
        <w:t>目前，全球资产管理规模已高达</w:t>
      </w:r>
      <w:r>
        <w:rPr>
          <w:rFonts w:hint="eastAsia" w:ascii="华文仿宋" w:hAnsi="华文仿宋"/>
          <w:bCs/>
          <w:lang w:val="en-US" w:eastAsia="zh-CN"/>
        </w:rPr>
        <w:t>79万亿美元。自2007年到2017年，不仅是在中国，全球其他一些国家和地区的资产管理规模也出现了较大幅度的增长。</w:t>
      </w:r>
    </w:p>
    <w:p>
      <w:pPr>
        <w:ind w:firstLine="480" w:firstLineChars="200"/>
        <w:rPr>
          <w:rFonts w:hint="default" w:ascii="华文仿宋" w:hAnsi="华文仿宋" w:eastAsia="华文仿宋"/>
          <w:bCs/>
          <w:lang w:val="en-US" w:eastAsia="zh-CN"/>
        </w:rPr>
      </w:pPr>
      <w:r>
        <w:rPr>
          <w:rFonts w:hint="eastAsia" w:ascii="华文仿宋" w:hAnsi="华文仿宋"/>
          <w:bCs/>
          <w:lang w:eastAsia="zh-CN"/>
        </w:rPr>
        <w:t>从资产管理产品类别及占比来看，</w:t>
      </w:r>
      <w:r>
        <w:rPr>
          <w:rFonts w:hint="eastAsia" w:ascii="华文仿宋" w:hAnsi="华文仿宋"/>
          <w:bCs/>
          <w:lang w:val="en-US" w:eastAsia="zh-CN"/>
        </w:rPr>
        <w:t>2003年传统主动管理产品类别占比高达57%，到2017年已下降至33%；而与此同时，被动管理产品类别由2003年的9%上升到了2017年的20%。当前国内市场并非是这样投资逻辑，因为成熟市场的投资者结构和国内的投资者结构有所差异，但成熟市场的发展趋势，一定程度上可以给国内资管行业的业务发展模式带来一定思考。</w:t>
      </w:r>
      <w:bookmarkStart w:id="40" w:name="_GoBack"/>
      <w:bookmarkEnd w:id="40"/>
    </w:p>
    <w:p>
      <w:pPr>
        <w:rPr>
          <w:rFonts w:hint="default" w:ascii="华文仿宋" w:hAnsi="华文仿宋" w:eastAsia="华文仿宋"/>
          <w:bCs/>
          <w:sz w:val="22"/>
          <w:szCs w:val="22"/>
          <w:lang w:val="en-US" w:eastAsia="zh-CN"/>
        </w:rPr>
      </w:pPr>
      <w:r>
        <w:rPr>
          <w:rFonts w:hint="eastAsia" w:ascii="华文仿宋" w:hAnsi="华文仿宋"/>
          <w:bCs/>
          <w:sz w:val="22"/>
          <w:szCs w:val="22"/>
          <w:lang w:eastAsia="zh-CN"/>
        </w:rPr>
        <w:t>图表</w:t>
      </w:r>
      <w:r>
        <w:rPr>
          <w:rFonts w:hint="eastAsia" w:ascii="华文仿宋" w:hAnsi="华文仿宋"/>
          <w:bCs/>
          <w:sz w:val="22"/>
          <w:szCs w:val="22"/>
          <w:lang w:val="en-US" w:eastAsia="zh-CN"/>
        </w:rPr>
        <w:t>1：全球资产管理业务概览</w:t>
      </w:r>
    </w:p>
    <w:p>
      <w:pPr>
        <w:jc w:val="both"/>
        <w:rPr>
          <w:rFonts w:hint="eastAsia" w:ascii="华文仿宋" w:hAnsi="华文仿宋"/>
          <w:bCs/>
        </w:rPr>
      </w:pPr>
      <w:r>
        <w:drawing>
          <wp:inline distT="0" distB="0" distL="114300" distR="114300">
            <wp:extent cx="5269865" cy="3039745"/>
            <wp:effectExtent l="0" t="0" r="6985" b="825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69865" cy="3039745"/>
                    </a:xfrm>
                    <a:prstGeom prst="rect">
                      <a:avLst/>
                    </a:prstGeom>
                    <a:noFill/>
                    <a:ln>
                      <a:noFill/>
                    </a:ln>
                  </pic:spPr>
                </pic:pic>
              </a:graphicData>
            </a:graphic>
          </wp:inline>
        </w:drawing>
      </w:r>
    </w:p>
    <w:p>
      <w:pPr>
        <w:rPr>
          <w:rFonts w:hint="default" w:ascii="华文仿宋" w:hAnsi="华文仿宋" w:eastAsia="华文仿宋"/>
          <w:bCs/>
          <w:sz w:val="22"/>
          <w:szCs w:val="22"/>
          <w:lang w:val="en-US" w:eastAsia="zh-CN"/>
        </w:rPr>
      </w:pPr>
      <w:r>
        <w:rPr>
          <w:rFonts w:hint="eastAsia" w:ascii="华文仿宋" w:hAnsi="华文仿宋"/>
          <w:bCs/>
          <w:sz w:val="22"/>
          <w:szCs w:val="22"/>
          <w:lang w:eastAsia="zh-CN"/>
        </w:rPr>
        <w:t>数据来源：</w:t>
      </w:r>
      <w:r>
        <w:rPr>
          <w:rFonts w:hint="eastAsia" w:ascii="华文仿宋" w:hAnsi="华文仿宋"/>
          <w:bCs/>
          <w:sz w:val="22"/>
          <w:szCs w:val="22"/>
          <w:lang w:val="en-US" w:eastAsia="zh-CN"/>
        </w:rPr>
        <w:t>BCG《全球资产管理行业研究报告》</w:t>
      </w:r>
    </w:p>
    <w:p>
      <w:pPr>
        <w:rPr>
          <w:rFonts w:hint="eastAsia" w:ascii="华文仿宋" w:hAnsi="华文仿宋"/>
          <w:bCs/>
        </w:rPr>
      </w:pPr>
    </w:p>
    <w:p>
      <w:pPr>
        <w:pStyle w:val="3"/>
        <w:rPr>
          <w:rFonts w:hint="eastAsia" w:ascii="华文仿宋" w:hAnsi="华文仿宋"/>
          <w:bCs/>
        </w:rPr>
      </w:pPr>
      <w:bookmarkStart w:id="2" w:name="_Toc24052"/>
      <w:r>
        <w:rPr>
          <w:rFonts w:hint="eastAsia" w:ascii="华文仿宋" w:hAnsi="华文仿宋" w:eastAsia="华文仿宋"/>
        </w:rPr>
        <w:t>1.2</w:t>
      </w:r>
      <w:r>
        <w:rPr>
          <w:rFonts w:hint="eastAsia" w:ascii="华文仿宋" w:hAnsi="华文仿宋" w:eastAsia="华文仿宋"/>
          <w:lang w:eastAsia="zh-CN"/>
        </w:rPr>
        <w:t>全球头部资产管理机构概览</w:t>
      </w:r>
      <w:bookmarkEnd w:id="2"/>
    </w:p>
    <w:p>
      <w:pPr>
        <w:widowControl w:val="0"/>
        <w:numPr>
          <w:ilvl w:val="0"/>
          <w:numId w:val="0"/>
        </w:numPr>
        <w:spacing w:line="360" w:lineRule="auto"/>
        <w:ind w:firstLine="480" w:firstLineChars="200"/>
        <w:jc w:val="both"/>
        <w:rPr>
          <w:rFonts w:hint="eastAsia" w:ascii="华文仿宋" w:hAnsi="华文仿宋" w:eastAsia="华文仿宋"/>
          <w:bCs/>
          <w:lang w:eastAsia="zh-CN"/>
        </w:rPr>
      </w:pPr>
      <w:r>
        <w:rPr>
          <w:rFonts w:hint="eastAsia" w:ascii="华文仿宋" w:hAnsi="华文仿宋"/>
          <w:bCs/>
        </w:rPr>
        <w:t>从2017年末全球前10大资管公司的股本结构看，主要分为银行系、保险系和专业资管机构。银行系包括道富环球、摩根大通和纽约梅隆；保险系主要是安联集团和安盛集团；资管公司包括贝莱德集团、先锋集团、美国富达、美国资本集团和东方汇理资产管理公司</w:t>
      </w:r>
      <w:r>
        <w:rPr>
          <w:rFonts w:hint="eastAsia" w:ascii="华文仿宋" w:hAnsi="华文仿宋"/>
          <w:bCs/>
          <w:lang w:eastAsia="zh-CN"/>
        </w:rPr>
        <w:t>。</w:t>
      </w:r>
    </w:p>
    <w:p>
      <w:pPr>
        <w:widowControl w:val="0"/>
        <w:numPr>
          <w:ilvl w:val="0"/>
          <w:numId w:val="0"/>
        </w:numPr>
        <w:spacing w:line="360" w:lineRule="auto"/>
        <w:ind w:firstLine="480" w:firstLineChars="200"/>
        <w:jc w:val="both"/>
        <w:rPr>
          <w:rFonts w:hint="eastAsia" w:ascii="华文仿宋" w:hAnsi="华文仿宋" w:eastAsia="华文仿宋"/>
          <w:bCs/>
          <w:lang w:eastAsia="zh-CN"/>
        </w:rPr>
      </w:pPr>
      <w:r>
        <w:rPr>
          <w:rFonts w:hint="eastAsia" w:ascii="华文仿宋" w:hAnsi="华文仿宋"/>
          <w:bCs/>
        </w:rPr>
        <w:t>银行系的头部资管公司中，道富环球的运作模式是，以被动型指数化投资为主，围绕投资者服务，提供投资管理、投资研究和顾问咨询；摩根大通依托商业银行，提供全门类、均衡性产品，主动投资特色突出；纽约梅隆则属于精品店模式，为机构客户提供投资管理和产业规划，为高净值客户提供定制化的解决方案</w:t>
      </w:r>
      <w:r>
        <w:rPr>
          <w:rFonts w:hint="eastAsia" w:ascii="华文仿宋" w:hAnsi="华文仿宋"/>
          <w:bCs/>
          <w:lang w:eastAsia="zh-CN"/>
        </w:rPr>
        <w:t>。</w:t>
      </w:r>
    </w:p>
    <w:p>
      <w:pPr>
        <w:widowControl w:val="0"/>
        <w:numPr>
          <w:ilvl w:val="0"/>
          <w:numId w:val="0"/>
        </w:numPr>
        <w:spacing w:line="360" w:lineRule="auto"/>
        <w:ind w:firstLine="480" w:firstLineChars="200"/>
        <w:jc w:val="both"/>
        <w:rPr>
          <w:rFonts w:hint="eastAsia" w:ascii="华文仿宋" w:hAnsi="华文仿宋"/>
          <w:bCs/>
          <w:lang w:eastAsia="zh-CN"/>
        </w:rPr>
      </w:pPr>
      <w:r>
        <w:rPr>
          <w:rFonts w:hint="eastAsia" w:ascii="华文仿宋" w:hAnsi="华文仿宋"/>
          <w:bCs/>
        </w:rPr>
        <w:t>国别方面，全球前10大资管公司主要集中于美国。前8大资管公司有7家来自美国，安联集团是德国公司，安盛集团、东方汇理来自法国</w:t>
      </w:r>
      <w:r>
        <w:rPr>
          <w:rFonts w:hint="eastAsia" w:ascii="华文仿宋" w:hAnsi="华文仿宋"/>
          <w:bCs/>
          <w:lang w:eastAsia="zh-CN"/>
        </w:rPr>
        <w:t>。</w:t>
      </w:r>
    </w:p>
    <w:p>
      <w:pPr>
        <w:widowControl w:val="0"/>
        <w:numPr>
          <w:ilvl w:val="0"/>
          <w:numId w:val="0"/>
        </w:numPr>
        <w:spacing w:line="360" w:lineRule="auto"/>
        <w:ind w:firstLine="480" w:firstLineChars="200"/>
        <w:jc w:val="both"/>
        <w:rPr>
          <w:rFonts w:hint="default" w:ascii="华文仿宋" w:hAnsi="华文仿宋"/>
          <w:bCs/>
          <w:lang w:val="en-US" w:eastAsia="zh-CN"/>
        </w:rPr>
      </w:pPr>
      <w:r>
        <w:rPr>
          <w:rFonts w:hint="eastAsia" w:ascii="华文仿宋" w:hAnsi="华文仿宋"/>
          <w:bCs/>
          <w:lang w:val="en-US" w:eastAsia="zh-CN"/>
        </w:rPr>
        <w:t>国外资管机构的现在不是国内资管机构的将来，但国外资管机构的发展脉络或许会给国内资管机构一些借鉴和参考。</w:t>
      </w:r>
    </w:p>
    <w:p>
      <w:pPr>
        <w:rPr>
          <w:rFonts w:hint="eastAsia" w:ascii="华文仿宋" w:hAnsi="华文仿宋"/>
          <w:bCs/>
          <w:sz w:val="22"/>
          <w:szCs w:val="22"/>
          <w:lang w:val="en-US" w:eastAsia="zh-CN"/>
        </w:rPr>
      </w:pPr>
      <w:r>
        <w:rPr>
          <w:rFonts w:hint="eastAsia" w:ascii="华文仿宋" w:hAnsi="华文仿宋"/>
          <w:bCs/>
          <w:sz w:val="22"/>
        </w:rPr>
        <w:t>图表</w:t>
      </w:r>
      <w:r>
        <w:rPr>
          <w:rFonts w:hint="eastAsia" w:ascii="华文仿宋" w:hAnsi="华文仿宋"/>
          <w:bCs/>
          <w:sz w:val="22"/>
          <w:lang w:val="en-US" w:eastAsia="zh-CN"/>
        </w:rPr>
        <w:t>2：</w:t>
      </w:r>
      <w:r>
        <w:rPr>
          <w:rFonts w:hint="eastAsia" w:ascii="华文仿宋" w:hAnsi="华文仿宋"/>
          <w:bCs/>
          <w:sz w:val="22"/>
          <w:szCs w:val="22"/>
          <w:lang w:eastAsia="zh-CN"/>
        </w:rPr>
        <w:t>全球前</w:t>
      </w:r>
      <w:r>
        <w:rPr>
          <w:rFonts w:hint="eastAsia" w:ascii="华文仿宋" w:hAnsi="华文仿宋"/>
          <w:bCs/>
          <w:sz w:val="22"/>
          <w:szCs w:val="22"/>
          <w:lang w:val="en-US" w:eastAsia="zh-CN"/>
        </w:rPr>
        <w:t>10资管公司（2017）</w:t>
      </w:r>
    </w:p>
    <w:p>
      <w:pPr>
        <w:rPr>
          <w:rFonts w:hint="eastAsia" w:ascii="华文仿宋" w:hAnsi="华文仿宋"/>
          <w:bCs/>
          <w:sz w:val="22"/>
          <w:szCs w:val="22"/>
          <w:lang w:val="en-US" w:eastAsia="zh-CN"/>
        </w:rPr>
      </w:pPr>
      <w:r>
        <w:drawing>
          <wp:inline distT="0" distB="0" distL="114300" distR="114300">
            <wp:extent cx="4544060" cy="3037840"/>
            <wp:effectExtent l="0" t="0" r="8890" b="1016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4544060" cy="3037840"/>
                    </a:xfrm>
                    <a:prstGeom prst="rect">
                      <a:avLst/>
                    </a:prstGeom>
                    <a:noFill/>
                    <a:ln>
                      <a:noFill/>
                    </a:ln>
                  </pic:spPr>
                </pic:pic>
              </a:graphicData>
            </a:graphic>
          </wp:inline>
        </w:drawing>
      </w:r>
    </w:p>
    <w:p>
      <w:pPr>
        <w:pStyle w:val="3"/>
        <w:rPr>
          <w:rFonts w:hint="eastAsia" w:ascii="华文仿宋" w:hAnsi="华文仿宋" w:eastAsia="华文仿宋"/>
          <w:lang w:eastAsia="zh-CN"/>
        </w:rPr>
      </w:pPr>
      <w:bookmarkStart w:id="3" w:name="_Toc11906"/>
      <w:r>
        <w:rPr>
          <w:rFonts w:hint="eastAsia" w:ascii="华文仿宋" w:hAnsi="华文仿宋" w:eastAsia="华文仿宋"/>
        </w:rPr>
        <w:t>1</w:t>
      </w:r>
      <w:r>
        <w:rPr>
          <w:rFonts w:ascii="华文仿宋" w:hAnsi="华文仿宋" w:eastAsia="华文仿宋"/>
        </w:rPr>
        <w:t>.3</w:t>
      </w:r>
      <w:r>
        <w:rPr>
          <w:rFonts w:hint="eastAsia" w:ascii="华文仿宋" w:hAnsi="华文仿宋" w:eastAsia="华文仿宋"/>
          <w:lang w:eastAsia="zh-CN"/>
        </w:rPr>
        <w:t>全球</w:t>
      </w:r>
      <w:r>
        <w:rPr>
          <w:rFonts w:hint="eastAsia" w:ascii="华文仿宋" w:hAnsi="华文仿宋" w:eastAsia="华文仿宋"/>
        </w:rPr>
        <w:t>主要上市的资管公司</w:t>
      </w:r>
      <w:r>
        <w:rPr>
          <w:rFonts w:hint="eastAsia" w:ascii="华文仿宋" w:hAnsi="华文仿宋" w:eastAsia="华文仿宋"/>
          <w:lang w:eastAsia="zh-CN"/>
        </w:rPr>
        <w:t>比较</w:t>
      </w:r>
      <w:bookmarkEnd w:id="3"/>
    </w:p>
    <w:p>
      <w:pPr>
        <w:numPr>
          <w:ilvl w:val="0"/>
          <w:numId w:val="0"/>
        </w:numPr>
        <w:ind w:firstLine="480" w:firstLineChars="200"/>
        <w:rPr>
          <w:rFonts w:hint="eastAsia" w:ascii="华文仿宋" w:hAnsi="华文仿宋"/>
          <w:bCs/>
          <w:lang w:val="en-US" w:eastAsia="zh-CN"/>
        </w:rPr>
      </w:pPr>
      <w:r>
        <w:rPr>
          <w:rFonts w:hint="eastAsia" w:ascii="华文仿宋" w:hAnsi="华文仿宋"/>
          <w:bCs/>
          <w:lang w:eastAsia="zh-CN"/>
        </w:rPr>
        <w:t>境外最大的</w:t>
      </w:r>
      <w:r>
        <w:rPr>
          <w:rFonts w:hint="eastAsia" w:ascii="华文仿宋" w:hAnsi="华文仿宋"/>
          <w:bCs/>
          <w:lang w:val="en-US" w:eastAsia="zh-CN"/>
        </w:rPr>
        <w:t>5家上市资产管理公司中，其中银行系有3家，体现了银行系资管公司在客户资源、品牌、基础设施方面的较大优势。</w:t>
      </w:r>
    </w:p>
    <w:p>
      <w:pPr>
        <w:numPr>
          <w:ilvl w:val="0"/>
          <w:numId w:val="0"/>
        </w:numPr>
        <w:ind w:firstLine="480" w:firstLineChars="200"/>
        <w:rPr>
          <w:rFonts w:hint="eastAsia" w:ascii="华文仿宋" w:hAnsi="华文仿宋"/>
          <w:bCs/>
          <w:lang w:val="en-US" w:eastAsia="zh-CN"/>
        </w:rPr>
      </w:pPr>
      <w:r>
        <w:rPr>
          <w:rFonts w:hint="eastAsia" w:ascii="华文仿宋" w:hAnsi="华文仿宋"/>
          <w:bCs/>
          <w:lang w:val="en-US" w:eastAsia="zh-CN"/>
        </w:rPr>
        <w:t>为提高经营效率和客户服务能力，境外的全球资管机构普遍采取集约化运营与分散化销售相结合的经验模式；通过集中运营强化系统建设，扩大规模降低单位成本，创造品牌效应，行业集中度逐年提高；凭借渠道优势进行全球化扩张，与品牌形成良性循环。</w:t>
      </w:r>
    </w:p>
    <w:p>
      <w:pPr>
        <w:numPr>
          <w:ilvl w:val="0"/>
          <w:numId w:val="0"/>
        </w:numPr>
        <w:ind w:firstLine="480" w:firstLineChars="200"/>
        <w:rPr>
          <w:rFonts w:hint="eastAsia" w:ascii="华文仿宋" w:hAnsi="华文仿宋"/>
          <w:bCs/>
        </w:rPr>
      </w:pPr>
      <w:r>
        <w:rPr>
          <w:rFonts w:hint="eastAsia" w:ascii="华文仿宋" w:hAnsi="华文仿宋"/>
          <w:bCs/>
          <w:lang w:val="en-US" w:eastAsia="zh-CN"/>
        </w:rPr>
        <w:t>基于自身的资源禀赋和特长，选择合适的商业模式与经营策略，进而确定相应的发展路径、产品与服务种类。</w:t>
      </w:r>
    </w:p>
    <w:p>
      <w:pPr>
        <w:rPr>
          <w:rFonts w:hint="eastAsia" w:ascii="华文仿宋" w:hAnsi="华文仿宋"/>
          <w:bCs/>
        </w:rPr>
      </w:pPr>
      <w:r>
        <w:rPr>
          <w:rFonts w:hint="eastAsia" w:ascii="华文仿宋" w:hAnsi="华文仿宋"/>
          <w:bCs/>
          <w:sz w:val="22"/>
        </w:rPr>
        <w:t>图表</w:t>
      </w:r>
      <w:r>
        <w:rPr>
          <w:rFonts w:hint="eastAsia" w:ascii="华文仿宋" w:hAnsi="华文仿宋"/>
          <w:bCs/>
          <w:sz w:val="22"/>
          <w:lang w:val="en-US" w:eastAsia="zh-CN"/>
        </w:rPr>
        <w:t>3：</w:t>
      </w:r>
      <w:r>
        <w:rPr>
          <w:rFonts w:hint="eastAsia" w:ascii="华文仿宋" w:hAnsi="华文仿宋"/>
          <w:bCs/>
          <w:sz w:val="22"/>
          <w:szCs w:val="22"/>
          <w:lang w:eastAsia="zh-CN"/>
        </w:rPr>
        <w:t>全球主要上市的资管公司比较</w:t>
      </w:r>
    </w:p>
    <w:p>
      <w:pPr>
        <w:widowControl w:val="0"/>
        <w:numPr>
          <w:ilvl w:val="0"/>
          <w:numId w:val="0"/>
        </w:numPr>
        <w:spacing w:line="360" w:lineRule="auto"/>
        <w:jc w:val="both"/>
        <w:rPr>
          <w:rFonts w:hint="eastAsia" w:ascii="华文仿宋" w:hAnsi="华文仿宋"/>
          <w:bCs/>
        </w:rPr>
      </w:pPr>
      <w:r>
        <w:drawing>
          <wp:anchor distT="0" distB="0" distL="114935" distR="114935" simplePos="0" relativeHeight="251659264" behindDoc="0" locked="0" layoutInCell="1" allowOverlap="1">
            <wp:simplePos x="0" y="0"/>
            <wp:positionH relativeFrom="column">
              <wp:posOffset>-806450</wp:posOffset>
            </wp:positionH>
            <wp:positionV relativeFrom="paragraph">
              <wp:posOffset>11430</wp:posOffset>
            </wp:positionV>
            <wp:extent cx="7025640" cy="2672715"/>
            <wp:effectExtent l="0" t="0" r="3810" b="13335"/>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stretch>
                      <a:fillRect/>
                    </a:stretch>
                  </pic:blipFill>
                  <pic:spPr>
                    <a:xfrm>
                      <a:off x="0" y="0"/>
                      <a:ext cx="7025640" cy="2672715"/>
                    </a:xfrm>
                    <a:prstGeom prst="rect">
                      <a:avLst/>
                    </a:prstGeom>
                    <a:noFill/>
                    <a:ln>
                      <a:noFill/>
                    </a:ln>
                  </pic:spPr>
                </pic:pic>
              </a:graphicData>
            </a:graphic>
          </wp:anchor>
        </w:drawing>
      </w:r>
    </w:p>
    <w:p>
      <w:pPr>
        <w:pStyle w:val="3"/>
        <w:rPr>
          <w:rFonts w:hint="eastAsia" w:ascii="华文仿宋" w:hAnsi="华文仿宋" w:eastAsia="华文仿宋"/>
          <w:lang w:eastAsia="zh-CN"/>
        </w:rPr>
      </w:pPr>
      <w:bookmarkStart w:id="4" w:name="_Toc8121"/>
      <w:r>
        <w:rPr>
          <w:rFonts w:hint="eastAsia" w:ascii="华文仿宋" w:hAnsi="华文仿宋" w:eastAsia="华文仿宋"/>
        </w:rPr>
        <w:t>1</w:t>
      </w:r>
      <w:r>
        <w:rPr>
          <w:rFonts w:ascii="华文仿宋" w:hAnsi="华文仿宋" w:eastAsia="华文仿宋"/>
        </w:rPr>
        <w:t>.</w:t>
      </w:r>
      <w:r>
        <w:rPr>
          <w:rFonts w:hint="eastAsia" w:ascii="华文仿宋" w:hAnsi="华文仿宋" w:eastAsia="华文仿宋"/>
          <w:lang w:val="en-US" w:eastAsia="zh-CN"/>
        </w:rPr>
        <w:t>4</w:t>
      </w:r>
      <w:r>
        <w:rPr>
          <w:rFonts w:hint="eastAsia" w:ascii="华文仿宋" w:hAnsi="华文仿宋" w:eastAsia="华文仿宋"/>
          <w:lang w:eastAsia="zh-CN"/>
        </w:rPr>
        <w:t>全球资管业务的特点</w:t>
      </w:r>
      <w:bookmarkEnd w:id="4"/>
    </w:p>
    <w:p>
      <w:pPr>
        <w:pStyle w:val="4"/>
        <w:rPr>
          <w:rFonts w:hint="eastAsia" w:ascii="华文仿宋" w:hAnsi="华文仿宋" w:eastAsia="华文仿宋"/>
          <w:lang w:eastAsia="zh-CN"/>
        </w:rPr>
      </w:pPr>
      <w:bookmarkStart w:id="5" w:name="_Toc14435"/>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1</w:t>
      </w:r>
      <w:r>
        <w:rPr>
          <w:rFonts w:hint="eastAsia" w:ascii="华文仿宋" w:hAnsi="华文仿宋" w:eastAsia="华文仿宋"/>
          <w:lang w:eastAsia="zh-CN"/>
        </w:rPr>
        <w:t>深耕本土市场，实现业务扩张</w:t>
      </w:r>
      <w:bookmarkEnd w:id="5"/>
    </w:p>
    <w:p>
      <w:pPr>
        <w:numPr>
          <w:ilvl w:val="0"/>
          <w:numId w:val="1"/>
        </w:numPr>
        <w:ind w:firstLine="480" w:firstLineChars="200"/>
        <w:rPr>
          <w:rFonts w:hint="eastAsia" w:ascii="华文仿宋" w:hAnsi="华文仿宋"/>
          <w:lang w:eastAsia="zh-CN"/>
        </w:rPr>
      </w:pPr>
      <w:r>
        <w:rPr>
          <w:rFonts w:hint="eastAsia" w:ascii="华文仿宋" w:hAnsi="华文仿宋"/>
          <w:lang w:eastAsia="zh-CN"/>
        </w:rPr>
        <w:t>海外机构的资产管理业务主要来源于本土市场。</w:t>
      </w:r>
    </w:p>
    <w:p>
      <w:pPr>
        <w:numPr>
          <w:ilvl w:val="0"/>
          <w:numId w:val="1"/>
        </w:numPr>
        <w:ind w:firstLine="480" w:firstLineChars="200"/>
        <w:rPr>
          <w:rFonts w:hint="eastAsia" w:ascii="华文仿宋" w:hAnsi="华文仿宋"/>
          <w:lang w:eastAsia="zh-CN"/>
        </w:rPr>
      </w:pPr>
      <w:r>
        <w:rPr>
          <w:rFonts w:hint="eastAsia" w:ascii="华文仿宋" w:hAnsi="华文仿宋"/>
          <w:lang w:eastAsia="zh-CN"/>
        </w:rPr>
        <w:t>海外资管机构普遍实行本土化经营策略。</w:t>
      </w:r>
    </w:p>
    <w:p>
      <w:pPr>
        <w:ind w:firstLine="480" w:firstLineChars="200"/>
        <w:rPr>
          <w:rFonts w:hint="eastAsia" w:ascii="华文仿宋" w:hAnsi="华文仿宋" w:eastAsia="华文仿宋"/>
          <w:lang w:eastAsia="zh-CN"/>
        </w:rPr>
      </w:pPr>
      <w:r>
        <w:rPr>
          <w:rFonts w:hint="eastAsia" w:ascii="华文仿宋" w:hAnsi="华文仿宋" w:eastAsia="华文仿宋"/>
          <w:lang w:eastAsia="zh-CN"/>
        </w:rPr>
        <w:t>美国9家“头部”资管机构本土的资管规模占比高达53%-75%，平均占总规模的三分之二</w:t>
      </w:r>
      <w:r>
        <w:rPr>
          <w:rFonts w:hint="eastAsia" w:ascii="华文仿宋" w:hAnsi="华文仿宋"/>
          <w:lang w:eastAsia="zh-CN"/>
        </w:rPr>
        <w:t>。德银资管：超过四成的管理资产来自于德国本土，并在欧洲市场占据较高份额。法国巴黎银行资管：采取本土团队，本土市场，本土经营的策略。</w:t>
      </w:r>
    </w:p>
    <w:p>
      <w:pPr>
        <w:pStyle w:val="4"/>
        <w:rPr>
          <w:rFonts w:hint="eastAsia" w:ascii="华文仿宋" w:hAnsi="华文仿宋" w:eastAsia="华文仿宋"/>
          <w:lang w:eastAsia="zh-CN"/>
        </w:rPr>
      </w:pPr>
      <w:bookmarkStart w:id="6" w:name="_Toc10921"/>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2</w:t>
      </w:r>
      <w:r>
        <w:rPr>
          <w:rFonts w:hint="eastAsia" w:ascii="华文仿宋" w:hAnsi="华文仿宋" w:eastAsia="华文仿宋"/>
          <w:lang w:eastAsia="zh-CN"/>
        </w:rPr>
        <w:t>机构业务为主，个人客户为辅</w:t>
      </w:r>
      <w:bookmarkEnd w:id="6"/>
    </w:p>
    <w:p>
      <w:pPr>
        <w:ind w:firstLine="480" w:firstLineChars="200"/>
        <w:rPr>
          <w:rFonts w:hint="eastAsia" w:ascii="华文仿宋" w:hAnsi="华文仿宋"/>
          <w:lang w:eastAsia="zh-CN"/>
        </w:rPr>
      </w:pPr>
      <w:r>
        <w:rPr>
          <w:rFonts w:hint="eastAsia" w:ascii="华文仿宋" w:hAnsi="华文仿宋" w:eastAsia="华文仿宋"/>
          <w:lang w:eastAsia="zh-CN"/>
        </w:rPr>
        <w:t>2015年末欧美资管行业所管理的资金中，机构客户资金占比达75%，个人客户的资金规模占比仅为25%</w:t>
      </w:r>
      <w:r>
        <w:rPr>
          <w:rFonts w:hint="eastAsia" w:ascii="华文仿宋" w:hAnsi="华文仿宋"/>
          <w:lang w:eastAsia="zh-CN"/>
        </w:rPr>
        <w:t>。</w:t>
      </w:r>
      <w:r>
        <w:rPr>
          <w:rFonts w:hint="eastAsia" w:ascii="华文仿宋" w:hAnsi="华文仿宋" w:eastAsia="华文仿宋"/>
          <w:lang w:eastAsia="zh-CN"/>
        </w:rPr>
        <w:t>机构客户中，本土主流的保险公司、养老金、主权基金等客户占据主要地位</w:t>
      </w:r>
      <w:r>
        <w:rPr>
          <w:rFonts w:hint="eastAsia" w:ascii="华文仿宋" w:hAnsi="华文仿宋"/>
          <w:lang w:eastAsia="zh-CN"/>
        </w:rPr>
        <w:t>。</w:t>
      </w:r>
      <w:r>
        <w:rPr>
          <w:rFonts w:hint="eastAsia" w:ascii="华文仿宋" w:hAnsi="华文仿宋" w:eastAsia="华文仿宋"/>
          <w:lang w:eastAsia="zh-CN"/>
        </w:rPr>
        <w:t>机构客户具有资金来源稳定、追求长期业绩的特点，可使资管机构较少地受制于短期业绩的压力，有更充足的空间实施符合自身优势的投资，进而建立品牌影响力，实现业务平稳增长</w:t>
      </w:r>
      <w:r>
        <w:rPr>
          <w:rFonts w:hint="eastAsia" w:ascii="华文仿宋" w:hAnsi="华文仿宋"/>
          <w:lang w:eastAsia="zh-CN"/>
        </w:rPr>
        <w:t>。</w:t>
      </w:r>
    </w:p>
    <w:p>
      <w:pPr>
        <w:pStyle w:val="4"/>
        <w:rPr>
          <w:rFonts w:hint="eastAsia" w:ascii="华文仿宋" w:hAnsi="华文仿宋" w:eastAsia="华文仿宋"/>
          <w:lang w:eastAsia="zh-CN"/>
        </w:rPr>
      </w:pPr>
      <w:bookmarkStart w:id="7" w:name="_Toc23418"/>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lang w:eastAsia="zh-CN"/>
        </w:rPr>
        <w:t>运营集约化，销售全球化</w:t>
      </w:r>
      <w:bookmarkEnd w:id="7"/>
    </w:p>
    <w:p>
      <w:pPr>
        <w:ind w:firstLine="480" w:firstLineChars="200"/>
        <w:rPr>
          <w:rFonts w:hint="eastAsia" w:ascii="华文仿宋" w:hAnsi="华文仿宋"/>
          <w:lang w:eastAsia="zh-CN"/>
        </w:rPr>
      </w:pPr>
      <w:r>
        <w:rPr>
          <w:rFonts w:hint="eastAsia" w:ascii="华文仿宋" w:hAnsi="华文仿宋" w:eastAsia="华文仿宋"/>
          <w:lang w:eastAsia="zh-CN"/>
        </w:rPr>
        <w:t>为提高经营效率和客户服务能力，海外资管机构普遍采取集约化运营与分散化销售相结合的经营模式</w:t>
      </w:r>
      <w:r>
        <w:rPr>
          <w:rFonts w:hint="eastAsia" w:ascii="华文仿宋" w:hAnsi="华文仿宋"/>
          <w:lang w:eastAsia="zh-CN"/>
        </w:rPr>
        <w:t>。</w:t>
      </w:r>
    </w:p>
    <w:p>
      <w:pPr>
        <w:ind w:firstLine="480" w:firstLineChars="200"/>
        <w:rPr>
          <w:rFonts w:hint="eastAsia" w:ascii="华文仿宋" w:hAnsi="华文仿宋"/>
          <w:lang w:eastAsia="zh-CN"/>
        </w:rPr>
      </w:pPr>
      <w:r>
        <w:rPr>
          <w:rFonts w:hint="eastAsia" w:ascii="华文仿宋" w:hAnsi="华文仿宋"/>
          <w:lang w:eastAsia="zh-CN"/>
        </w:rPr>
        <w:t>运营层面：设立相对集中的产品和投研中心，建立统一的托管、运营和风控平台。</w:t>
      </w:r>
    </w:p>
    <w:p>
      <w:pPr>
        <w:ind w:firstLine="480" w:firstLineChars="200"/>
        <w:rPr>
          <w:rFonts w:hint="eastAsia" w:ascii="华文仿宋" w:hAnsi="华文仿宋" w:eastAsia="华文仿宋"/>
          <w:lang w:eastAsia="zh-CN"/>
        </w:rPr>
      </w:pPr>
      <w:r>
        <w:rPr>
          <w:rFonts w:hint="eastAsia" w:ascii="华文仿宋" w:hAnsi="华文仿宋"/>
          <w:lang w:eastAsia="zh-CN"/>
        </w:rPr>
        <w:t>销售层面：实现全球化、分散化的销售网络，服务不同区域的客户。</w:t>
      </w:r>
    </w:p>
    <w:p>
      <w:pPr>
        <w:pStyle w:val="4"/>
        <w:rPr>
          <w:rFonts w:hint="eastAsia" w:ascii="华文仿宋" w:hAnsi="华文仿宋" w:eastAsia="华文仿宋"/>
          <w:lang w:eastAsia="zh-CN"/>
        </w:rPr>
      </w:pPr>
      <w:bookmarkStart w:id="8" w:name="_Toc15565"/>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4</w:t>
      </w:r>
      <w:r>
        <w:rPr>
          <w:rFonts w:hint="eastAsia" w:ascii="华文仿宋" w:hAnsi="华文仿宋" w:eastAsia="华文仿宋"/>
          <w:lang w:eastAsia="zh-CN"/>
        </w:rPr>
        <w:t>资源投入较多，规模效应突出</w:t>
      </w:r>
      <w:bookmarkEnd w:id="8"/>
    </w:p>
    <w:p>
      <w:pPr>
        <w:ind w:firstLine="480" w:firstLineChars="200"/>
        <w:rPr>
          <w:rFonts w:hint="eastAsia" w:ascii="华文仿宋" w:hAnsi="华文仿宋"/>
          <w:lang w:val="en-US" w:eastAsia="zh-CN"/>
        </w:rPr>
      </w:pPr>
      <w:r>
        <w:rPr>
          <w:rFonts w:hint="eastAsia" w:ascii="华文仿宋" w:hAnsi="华文仿宋"/>
          <w:lang w:val="en-US" w:eastAsia="zh-CN"/>
        </w:rPr>
        <w:t>2017年末，全球排名前20位的资管机构所管理的资产管理占比达43%，前50占比近70%。</w:t>
      </w:r>
    </w:p>
    <w:p>
      <w:pPr>
        <w:ind w:firstLine="480" w:firstLineChars="200"/>
        <w:rPr>
          <w:rFonts w:hint="eastAsia" w:ascii="华文仿宋" w:hAnsi="华文仿宋"/>
          <w:lang w:val="en-US" w:eastAsia="zh-CN"/>
        </w:rPr>
      </w:pPr>
      <w:r>
        <w:rPr>
          <w:rFonts w:hint="eastAsia" w:ascii="华文仿宋" w:hAnsi="华文仿宋"/>
          <w:lang w:val="en-US" w:eastAsia="zh-CN"/>
        </w:rPr>
        <w:t>资管业务本身属于轻资本业务，对于资本金的投入不是很高，但对于运营能力、风控能力、投研能力以及销售渠道等均具有较高要求，需要大规模的人、财、物力等方面的资源投入。</w:t>
      </w:r>
    </w:p>
    <w:p>
      <w:pPr>
        <w:ind w:firstLine="480" w:firstLineChars="200"/>
        <w:rPr>
          <w:rFonts w:hint="eastAsia" w:ascii="华文仿宋" w:hAnsi="华文仿宋"/>
          <w:lang w:val="en-US" w:eastAsia="zh-CN"/>
        </w:rPr>
      </w:pPr>
      <w:r>
        <w:rPr>
          <w:rFonts w:hint="eastAsia" w:ascii="华文仿宋" w:hAnsi="华文仿宋"/>
          <w:lang w:val="en-US" w:eastAsia="zh-CN"/>
        </w:rPr>
        <w:t>“头部”资管机构形成产品、系统、渠道优势，扩大规模降低单位成本，通过品牌效应形成良性循环，行业集中度提高。</w:t>
      </w:r>
    </w:p>
    <w:p>
      <w:pPr>
        <w:rPr>
          <w:rFonts w:hint="default" w:ascii="华文仿宋" w:hAnsi="华文仿宋"/>
          <w:lang w:val="en-US" w:eastAsia="zh-CN"/>
        </w:rPr>
      </w:pPr>
      <w:r>
        <w:rPr>
          <w:rFonts w:hint="eastAsia" w:ascii="华文仿宋" w:hAnsi="华文仿宋"/>
          <w:bCs/>
          <w:sz w:val="22"/>
        </w:rPr>
        <w:t>图表</w:t>
      </w:r>
      <w:r>
        <w:rPr>
          <w:rFonts w:hint="eastAsia" w:ascii="华文仿宋" w:hAnsi="华文仿宋"/>
          <w:bCs/>
          <w:sz w:val="22"/>
          <w:lang w:val="en-US" w:eastAsia="zh-CN"/>
        </w:rPr>
        <w:t>4：资管业务资源投入</w:t>
      </w:r>
    </w:p>
    <w:p>
      <w:pPr>
        <w:rPr>
          <w:rFonts w:hint="eastAsia" w:ascii="华文仿宋" w:hAnsi="华文仿宋" w:eastAsia="华文仿宋"/>
          <w:lang w:eastAsia="zh-CN"/>
        </w:rPr>
      </w:pPr>
      <w:r>
        <w:drawing>
          <wp:inline distT="0" distB="0" distL="114300" distR="114300">
            <wp:extent cx="5272405" cy="2076450"/>
            <wp:effectExtent l="0" t="0" r="4445" b="0"/>
            <wp:docPr id="47"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8"/>
                    <pic:cNvPicPr>
                      <a:picLocks noChangeAspect="1"/>
                    </pic:cNvPicPr>
                  </pic:nvPicPr>
                  <pic:blipFill>
                    <a:blip r:embed="rId12"/>
                    <a:stretch>
                      <a:fillRect/>
                    </a:stretch>
                  </pic:blipFill>
                  <pic:spPr>
                    <a:xfrm>
                      <a:off x="0" y="0"/>
                      <a:ext cx="5272405" cy="2076450"/>
                    </a:xfrm>
                    <a:prstGeom prst="rect">
                      <a:avLst/>
                    </a:prstGeom>
                    <a:noFill/>
                    <a:ln>
                      <a:noFill/>
                    </a:ln>
                  </pic:spPr>
                </pic:pic>
              </a:graphicData>
            </a:graphic>
          </wp:inline>
        </w:drawing>
      </w:r>
    </w:p>
    <w:p>
      <w:pPr>
        <w:pStyle w:val="4"/>
        <w:rPr>
          <w:rFonts w:hint="eastAsia" w:ascii="华文仿宋" w:hAnsi="华文仿宋" w:eastAsia="华文仿宋"/>
          <w:lang w:eastAsia="zh-CN"/>
        </w:rPr>
      </w:pPr>
      <w:bookmarkStart w:id="9" w:name="_Toc23919"/>
      <w:r>
        <w:rPr>
          <w:rFonts w:hint="eastAsia" w:ascii="华文仿宋" w:hAnsi="华文仿宋" w:eastAsia="华文仿宋"/>
        </w:rPr>
        <w:t>1.</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5</w:t>
      </w:r>
      <w:r>
        <w:rPr>
          <w:rFonts w:hint="eastAsia" w:ascii="华文仿宋" w:hAnsi="华文仿宋" w:eastAsia="华文仿宋"/>
          <w:lang w:eastAsia="zh-CN"/>
        </w:rPr>
        <w:t>资管监管趋严，核心标准趋同</w:t>
      </w:r>
      <w:bookmarkEnd w:id="9"/>
    </w:p>
    <w:p>
      <w:pPr>
        <w:ind w:firstLine="480" w:firstLineChars="200"/>
        <w:rPr>
          <w:rFonts w:hint="eastAsia" w:ascii="华文仿宋" w:hAnsi="华文仿宋"/>
          <w:lang w:eastAsia="zh-CN"/>
        </w:rPr>
      </w:pPr>
      <w:r>
        <w:rPr>
          <w:rFonts w:hint="eastAsia" w:ascii="华文仿宋" w:hAnsi="华文仿宋" w:eastAsia="华文仿宋"/>
          <w:lang w:eastAsia="zh-CN"/>
        </w:rPr>
        <w:t>在监管环境趋严的背景下，境外资管机构普遍加大了对风险管理、法律合规及内部审计等方面的建设</w:t>
      </w:r>
      <w:r>
        <w:rPr>
          <w:rFonts w:hint="eastAsia" w:ascii="华文仿宋" w:hAnsi="华文仿宋"/>
          <w:lang w:eastAsia="zh-CN"/>
        </w:rPr>
        <w:t>。</w:t>
      </w:r>
    </w:p>
    <w:p>
      <w:pPr>
        <w:ind w:firstLine="480" w:firstLineChars="200"/>
        <w:rPr>
          <w:rFonts w:hint="eastAsia" w:ascii="华文仿宋" w:hAnsi="华文仿宋"/>
          <w:b/>
          <w:bCs/>
          <w:lang w:eastAsia="zh-CN"/>
        </w:rPr>
      </w:pPr>
      <w:r>
        <w:rPr>
          <w:rFonts w:hint="eastAsia" w:ascii="华文仿宋" w:hAnsi="华文仿宋"/>
          <w:b/>
          <w:bCs/>
          <w:lang w:eastAsia="zh-CN"/>
        </w:rPr>
        <w:t>金融危机前：</w:t>
      </w:r>
    </w:p>
    <w:p>
      <w:pPr>
        <w:ind w:firstLine="480" w:firstLineChars="200"/>
        <w:rPr>
          <w:rFonts w:hint="eastAsia" w:ascii="华文仿宋" w:hAnsi="华文仿宋" w:eastAsia="华文仿宋"/>
          <w:lang w:eastAsia="zh-CN"/>
        </w:rPr>
      </w:pPr>
      <w:r>
        <w:rPr>
          <w:rFonts w:hint="eastAsia" w:ascii="华文仿宋" w:hAnsi="华文仿宋"/>
          <w:lang w:eastAsia="zh-CN"/>
        </w:rPr>
        <w:t>（</w:t>
      </w:r>
      <w:r>
        <w:rPr>
          <w:rFonts w:hint="eastAsia" w:ascii="华文仿宋" w:hAnsi="华文仿宋"/>
          <w:lang w:val="en-US" w:eastAsia="zh-CN"/>
        </w:rPr>
        <w:t>1</w:t>
      </w:r>
      <w:r>
        <w:rPr>
          <w:rFonts w:hint="eastAsia" w:ascii="华文仿宋" w:hAnsi="华文仿宋"/>
          <w:lang w:eastAsia="zh-CN"/>
        </w:rPr>
        <w:t>）</w:t>
      </w:r>
      <w:r>
        <w:rPr>
          <w:rFonts w:hint="eastAsia" w:ascii="华文仿宋" w:hAnsi="华文仿宋" w:eastAsia="华文仿宋"/>
          <w:lang w:eastAsia="zh-CN"/>
        </w:rPr>
        <w:t>美国金融危机前，全球资管行业监管侧重于对投资者适当性的行为管理</w:t>
      </w:r>
      <w:r>
        <w:rPr>
          <w:rFonts w:hint="eastAsia" w:ascii="华文仿宋" w:hAnsi="华文仿宋"/>
          <w:lang w:eastAsia="zh-CN"/>
        </w:rPr>
        <w:t>。</w:t>
      </w:r>
    </w:p>
    <w:p>
      <w:pPr>
        <w:ind w:firstLine="480" w:firstLineChars="200"/>
        <w:rPr>
          <w:rFonts w:hint="default" w:ascii="华文仿宋" w:hAnsi="华文仿宋" w:eastAsia="华文仿宋"/>
          <w:lang w:val="en-US" w:eastAsia="zh-CN"/>
        </w:rPr>
      </w:pPr>
      <w:r>
        <w:rPr>
          <w:rFonts w:hint="eastAsia" w:ascii="华文仿宋" w:hAnsi="华文仿宋"/>
          <w:lang w:eastAsia="zh-CN"/>
        </w:rPr>
        <w:t>（</w:t>
      </w:r>
      <w:r>
        <w:rPr>
          <w:rFonts w:hint="eastAsia" w:ascii="华文仿宋" w:hAnsi="华文仿宋"/>
          <w:lang w:val="en-US" w:eastAsia="zh-CN"/>
        </w:rPr>
        <w:t>2</w:t>
      </w:r>
      <w:r>
        <w:rPr>
          <w:rFonts w:hint="eastAsia" w:ascii="华文仿宋" w:hAnsi="华文仿宋"/>
          <w:lang w:eastAsia="zh-CN"/>
        </w:rPr>
        <w:t>）</w:t>
      </w:r>
      <w:r>
        <w:rPr>
          <w:rFonts w:hint="eastAsia" w:ascii="华文仿宋" w:hAnsi="华文仿宋" w:eastAsia="华文仿宋"/>
          <w:lang w:eastAsia="zh-CN"/>
        </w:rPr>
        <w:t>另类资产管理较少受到或者并没有受到严格的监管覆盖</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lang w:eastAsia="zh-CN"/>
        </w:rPr>
        <w:t>（</w:t>
      </w:r>
      <w:r>
        <w:rPr>
          <w:rFonts w:hint="eastAsia" w:ascii="华文仿宋" w:hAnsi="华文仿宋"/>
          <w:lang w:val="en-US" w:eastAsia="zh-CN"/>
        </w:rPr>
        <w:t>3</w:t>
      </w:r>
      <w:r>
        <w:rPr>
          <w:rFonts w:hint="eastAsia" w:ascii="华文仿宋" w:hAnsi="华文仿宋"/>
          <w:lang w:eastAsia="zh-CN"/>
        </w:rPr>
        <w:t>）</w:t>
      </w:r>
      <w:r>
        <w:rPr>
          <w:rFonts w:hint="eastAsia" w:ascii="华文仿宋" w:hAnsi="华文仿宋" w:eastAsia="华文仿宋"/>
          <w:lang w:eastAsia="zh-CN"/>
        </w:rPr>
        <w:t>但市场过于乐观的预期使得资管业务产生了较为严重的流动性错配和杠杆风险，并进一步渗透至金融系统乃至经济系统</w:t>
      </w:r>
      <w:r>
        <w:rPr>
          <w:rFonts w:hint="eastAsia" w:ascii="华文仿宋" w:hAnsi="华文仿宋"/>
          <w:lang w:eastAsia="zh-CN"/>
        </w:rPr>
        <w:t>。</w:t>
      </w:r>
    </w:p>
    <w:p>
      <w:pPr>
        <w:ind w:firstLine="480" w:firstLineChars="200"/>
        <w:rPr>
          <w:rFonts w:hint="eastAsia" w:ascii="华文仿宋" w:hAnsi="华文仿宋"/>
          <w:lang w:eastAsia="zh-CN"/>
        </w:rPr>
      </w:pPr>
      <w:r>
        <w:rPr>
          <w:rFonts w:hint="eastAsia" w:ascii="华文仿宋" w:hAnsi="华文仿宋"/>
          <w:lang w:eastAsia="zh-CN"/>
        </w:rPr>
        <w:t>（</w:t>
      </w:r>
      <w:r>
        <w:rPr>
          <w:rFonts w:hint="eastAsia" w:ascii="华文仿宋" w:hAnsi="华文仿宋"/>
          <w:lang w:val="en-US" w:eastAsia="zh-CN"/>
        </w:rPr>
        <w:t>4</w:t>
      </w:r>
      <w:r>
        <w:rPr>
          <w:rFonts w:hint="eastAsia" w:ascii="华文仿宋" w:hAnsi="华文仿宋"/>
          <w:lang w:eastAsia="zh-CN"/>
        </w:rPr>
        <w:t>）</w:t>
      </w:r>
      <w:r>
        <w:rPr>
          <w:rFonts w:hint="eastAsia" w:ascii="华文仿宋" w:hAnsi="华文仿宋" w:eastAsia="华文仿宋"/>
          <w:lang w:eastAsia="zh-CN"/>
        </w:rPr>
        <w:t>美国金融危机暴露了全球资管行业的内在脆弱性和监管不足</w:t>
      </w:r>
      <w:r>
        <w:rPr>
          <w:rFonts w:hint="eastAsia" w:ascii="华文仿宋" w:hAnsi="华文仿宋"/>
          <w:lang w:eastAsia="zh-CN"/>
        </w:rPr>
        <w:t>。</w:t>
      </w:r>
    </w:p>
    <w:p>
      <w:pPr>
        <w:ind w:firstLine="480" w:firstLineChars="200"/>
        <w:rPr>
          <w:rFonts w:hint="eastAsia" w:ascii="华文仿宋" w:hAnsi="华文仿宋"/>
          <w:lang w:eastAsia="zh-CN"/>
        </w:rPr>
      </w:pPr>
    </w:p>
    <w:p>
      <w:pPr>
        <w:ind w:firstLine="480" w:firstLineChars="200"/>
        <w:rPr>
          <w:rFonts w:hint="eastAsia" w:ascii="华文仿宋" w:hAnsi="华文仿宋"/>
          <w:b/>
          <w:bCs/>
          <w:lang w:eastAsia="zh-CN"/>
        </w:rPr>
      </w:pPr>
      <w:r>
        <w:rPr>
          <w:rFonts w:hint="eastAsia" w:ascii="华文仿宋" w:hAnsi="华文仿宋"/>
          <w:b/>
          <w:bCs/>
          <w:lang w:eastAsia="zh-CN"/>
        </w:rPr>
        <w:t>金融危机后：</w:t>
      </w:r>
    </w:p>
    <w:p>
      <w:pPr>
        <w:ind w:firstLine="480" w:firstLineChars="200"/>
        <w:rPr>
          <w:rFonts w:hint="eastAsia" w:ascii="华文仿宋" w:hAnsi="华文仿宋" w:eastAsia="华文仿宋"/>
          <w:lang w:eastAsia="zh-CN"/>
        </w:rPr>
      </w:pPr>
      <w:r>
        <w:rPr>
          <w:rFonts w:hint="eastAsia" w:ascii="华文仿宋" w:hAnsi="华文仿宋"/>
          <w:b/>
          <w:bCs/>
          <w:lang w:eastAsia="zh-CN"/>
        </w:rPr>
        <w:t>（</w:t>
      </w:r>
      <w:r>
        <w:rPr>
          <w:rFonts w:hint="eastAsia" w:ascii="华文仿宋" w:hAnsi="华文仿宋"/>
          <w:b/>
          <w:bCs/>
          <w:lang w:val="en-US" w:eastAsia="zh-CN"/>
        </w:rPr>
        <w:t>1</w:t>
      </w:r>
      <w:r>
        <w:rPr>
          <w:rFonts w:hint="eastAsia" w:ascii="华文仿宋" w:hAnsi="华文仿宋"/>
          <w:b/>
          <w:bCs/>
          <w:lang w:eastAsia="zh-CN"/>
        </w:rPr>
        <w:t>）</w:t>
      </w:r>
      <w:r>
        <w:rPr>
          <w:rFonts w:hint="eastAsia" w:ascii="华文仿宋" w:hAnsi="华文仿宋" w:eastAsia="华文仿宋"/>
          <w:b/>
          <w:bCs/>
          <w:lang w:eastAsia="zh-CN"/>
        </w:rPr>
        <w:t>监管政策整体趋严：</w:t>
      </w:r>
      <w:r>
        <w:rPr>
          <w:rFonts w:hint="eastAsia" w:ascii="华文仿宋" w:hAnsi="华文仿宋" w:eastAsia="华文仿宋"/>
          <w:lang w:eastAsia="zh-CN"/>
        </w:rPr>
        <w:t>银行、证券、保险、资管领域监管同步加强</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b/>
          <w:bCs/>
          <w:lang w:eastAsia="zh-CN"/>
        </w:rPr>
        <w:t>（</w:t>
      </w:r>
      <w:r>
        <w:rPr>
          <w:rFonts w:hint="eastAsia" w:ascii="华文仿宋" w:hAnsi="华文仿宋"/>
          <w:b/>
          <w:bCs/>
          <w:lang w:val="en-US" w:eastAsia="zh-CN"/>
        </w:rPr>
        <w:t>2</w:t>
      </w:r>
      <w:r>
        <w:rPr>
          <w:rFonts w:hint="eastAsia" w:ascii="华文仿宋" w:hAnsi="华文仿宋"/>
          <w:b/>
          <w:bCs/>
          <w:lang w:eastAsia="zh-CN"/>
        </w:rPr>
        <w:t>）</w:t>
      </w:r>
      <w:r>
        <w:rPr>
          <w:rFonts w:hint="eastAsia" w:ascii="华文仿宋" w:hAnsi="华文仿宋" w:eastAsia="华文仿宋"/>
          <w:b/>
          <w:bCs/>
          <w:lang w:eastAsia="zh-CN"/>
        </w:rPr>
        <w:t>机构监管转向功能监管：</w:t>
      </w:r>
      <w:r>
        <w:rPr>
          <w:rFonts w:hint="eastAsia" w:ascii="华文仿宋" w:hAnsi="华文仿宋" w:eastAsia="华文仿宋"/>
          <w:lang w:eastAsia="zh-CN"/>
        </w:rPr>
        <w:t>混业经营模式下更好地解决监管空白和监管套利问题</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b/>
          <w:bCs/>
          <w:lang w:eastAsia="zh-CN"/>
        </w:rPr>
        <w:t>（</w:t>
      </w:r>
      <w:r>
        <w:rPr>
          <w:rFonts w:hint="eastAsia" w:ascii="华文仿宋" w:hAnsi="华文仿宋"/>
          <w:b/>
          <w:bCs/>
          <w:lang w:val="en-US" w:eastAsia="zh-CN"/>
        </w:rPr>
        <w:t>3</w:t>
      </w:r>
      <w:r>
        <w:rPr>
          <w:rFonts w:hint="eastAsia" w:ascii="华文仿宋" w:hAnsi="华文仿宋"/>
          <w:b/>
          <w:bCs/>
          <w:lang w:eastAsia="zh-CN"/>
        </w:rPr>
        <w:t>）</w:t>
      </w:r>
      <w:r>
        <w:rPr>
          <w:rFonts w:hint="eastAsia" w:ascii="华文仿宋" w:hAnsi="华文仿宋" w:eastAsia="华文仿宋"/>
          <w:b/>
          <w:bCs/>
          <w:lang w:eastAsia="zh-CN"/>
        </w:rPr>
        <w:t>宏观审慎监管和微观审慎监管相结合：</w:t>
      </w:r>
      <w:r>
        <w:rPr>
          <w:rFonts w:hint="eastAsia" w:ascii="华文仿宋" w:hAnsi="华文仿宋" w:eastAsia="华文仿宋"/>
          <w:lang w:eastAsia="zh-CN"/>
        </w:rPr>
        <w:t>各国普遍将资产管理行业纳入宏观审慎监管框架，确立“系统重要性”金融机构，将资产管理活动作为金融活动的重要组成部分，维护金融体系的稳定、着力于平滑金融体系的顺周期波动和防范跨市场风险传染；同时加强穿透式监管，加快金融消费者保护的相关立法、构建纠纷处理机制、提高信息透明度</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b/>
          <w:bCs/>
          <w:lang w:eastAsia="zh-CN"/>
        </w:rPr>
        <w:t>（</w:t>
      </w:r>
      <w:r>
        <w:rPr>
          <w:rFonts w:hint="eastAsia" w:ascii="华文仿宋" w:hAnsi="华文仿宋"/>
          <w:b/>
          <w:bCs/>
          <w:lang w:val="en-US" w:eastAsia="zh-CN"/>
        </w:rPr>
        <w:t>4</w:t>
      </w:r>
      <w:r>
        <w:rPr>
          <w:rFonts w:hint="eastAsia" w:ascii="华文仿宋" w:hAnsi="华文仿宋"/>
          <w:b/>
          <w:bCs/>
          <w:lang w:eastAsia="zh-CN"/>
        </w:rPr>
        <w:t>）</w:t>
      </w:r>
      <w:r>
        <w:rPr>
          <w:rFonts w:hint="eastAsia" w:ascii="华文仿宋" w:hAnsi="华文仿宋" w:eastAsia="华文仿宋"/>
          <w:b/>
          <w:bCs/>
          <w:lang w:eastAsia="zh-CN"/>
        </w:rPr>
        <w:t>加强对流动性管理的监管：</w:t>
      </w:r>
      <w:r>
        <w:rPr>
          <w:rFonts w:hint="eastAsia" w:ascii="华文仿宋" w:hAnsi="华文仿宋" w:eastAsia="华文仿宋"/>
          <w:lang w:eastAsia="zh-CN"/>
        </w:rPr>
        <w:t>美国要求所有的开放式基金都要具有流动性风险管理方案，非流动性资产投资不超过净值的15%；德国制定了流动性风险管理指引</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b/>
          <w:bCs/>
          <w:lang w:eastAsia="zh-CN"/>
        </w:rPr>
        <w:t>（</w:t>
      </w:r>
      <w:r>
        <w:rPr>
          <w:rFonts w:hint="eastAsia" w:ascii="华文仿宋" w:hAnsi="华文仿宋"/>
          <w:b/>
          <w:bCs/>
          <w:lang w:val="en-US" w:eastAsia="zh-CN"/>
        </w:rPr>
        <w:t>5</w:t>
      </w:r>
      <w:r>
        <w:rPr>
          <w:rFonts w:hint="eastAsia" w:ascii="华文仿宋" w:hAnsi="华文仿宋"/>
          <w:b/>
          <w:bCs/>
          <w:lang w:eastAsia="zh-CN"/>
        </w:rPr>
        <w:t>）</w:t>
      </w:r>
      <w:r>
        <w:rPr>
          <w:rFonts w:hint="eastAsia" w:ascii="华文仿宋" w:hAnsi="华文仿宋" w:eastAsia="华文仿宋"/>
          <w:b/>
          <w:bCs/>
          <w:lang w:eastAsia="zh-CN"/>
        </w:rPr>
        <w:t>加强对杠杆水平的监管：</w:t>
      </w:r>
      <w:r>
        <w:rPr>
          <w:rFonts w:hint="eastAsia" w:ascii="华文仿宋" w:hAnsi="华文仿宋" w:eastAsia="华文仿宋"/>
          <w:lang w:eastAsia="zh-CN"/>
        </w:rPr>
        <w:t>全球金融稳定理事会（FSB）提出了全球统一的资管产品杠杆水平计量方法</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b/>
          <w:bCs/>
          <w:lang w:eastAsia="zh-CN"/>
        </w:rPr>
        <w:t>（</w:t>
      </w:r>
      <w:r>
        <w:rPr>
          <w:rFonts w:hint="eastAsia" w:ascii="华文仿宋" w:hAnsi="华文仿宋"/>
          <w:b/>
          <w:bCs/>
          <w:lang w:val="en-US" w:eastAsia="zh-CN"/>
        </w:rPr>
        <w:t>6</w:t>
      </w:r>
      <w:r>
        <w:rPr>
          <w:rFonts w:hint="eastAsia" w:ascii="华文仿宋" w:hAnsi="华文仿宋"/>
          <w:b/>
          <w:bCs/>
          <w:lang w:eastAsia="zh-CN"/>
        </w:rPr>
        <w:t>）</w:t>
      </w:r>
      <w:r>
        <w:rPr>
          <w:rFonts w:hint="eastAsia" w:ascii="华文仿宋" w:hAnsi="华文仿宋" w:eastAsia="华文仿宋"/>
          <w:b/>
          <w:bCs/>
          <w:lang w:eastAsia="zh-CN"/>
        </w:rPr>
        <w:t>加强货币基金管理：</w:t>
      </w:r>
      <w:r>
        <w:rPr>
          <w:rFonts w:hint="eastAsia" w:ascii="华文仿宋" w:hAnsi="华文仿宋" w:eastAsia="华文仿宋"/>
          <w:lang w:eastAsia="zh-CN"/>
        </w:rPr>
        <w:t>欧美国家对机构客户货币基金逐步采用市值法估值，并加强赎回限制</w:t>
      </w:r>
      <w:r>
        <w:rPr>
          <w:rFonts w:hint="eastAsia" w:ascii="华文仿宋" w:hAnsi="华文仿宋"/>
          <w:lang w:eastAsia="zh-CN"/>
        </w:rPr>
        <w:t>。</w:t>
      </w:r>
    </w:p>
    <w:p>
      <w:pPr>
        <w:ind w:firstLine="480" w:firstLineChars="200"/>
        <w:rPr>
          <w:rFonts w:hint="eastAsia" w:ascii="华文仿宋" w:hAnsi="华文仿宋"/>
          <w:bCs/>
        </w:rPr>
      </w:pPr>
      <w:r>
        <w:rPr>
          <w:rFonts w:hint="eastAsia" w:ascii="华文仿宋" w:hAnsi="华文仿宋"/>
          <w:b/>
          <w:bCs/>
          <w:lang w:eastAsia="zh-CN"/>
        </w:rPr>
        <w:t>（</w:t>
      </w:r>
      <w:r>
        <w:rPr>
          <w:rFonts w:hint="eastAsia" w:ascii="华文仿宋" w:hAnsi="华文仿宋"/>
          <w:b/>
          <w:bCs/>
          <w:lang w:val="en-US" w:eastAsia="zh-CN"/>
        </w:rPr>
        <w:t>7</w:t>
      </w:r>
      <w:r>
        <w:rPr>
          <w:rFonts w:hint="eastAsia" w:ascii="华文仿宋" w:hAnsi="华文仿宋"/>
          <w:b/>
          <w:bCs/>
          <w:lang w:eastAsia="zh-CN"/>
        </w:rPr>
        <w:t>）</w:t>
      </w:r>
      <w:r>
        <w:rPr>
          <w:rFonts w:hint="eastAsia" w:ascii="华文仿宋" w:hAnsi="华文仿宋" w:eastAsia="华文仿宋"/>
          <w:b/>
          <w:bCs/>
          <w:lang w:eastAsia="zh-CN"/>
        </w:rPr>
        <w:t>加强另类资产管理：</w:t>
      </w:r>
      <w:r>
        <w:rPr>
          <w:rFonts w:hint="eastAsia" w:ascii="华文仿宋" w:hAnsi="华文仿宋" w:eastAsia="华文仿宋"/>
          <w:lang w:eastAsia="zh-CN"/>
        </w:rPr>
        <w:t>危机后欧美各国普遍加强了相关监管</w:t>
      </w:r>
      <w:r>
        <w:rPr>
          <w:rFonts w:hint="eastAsia" w:ascii="华文仿宋" w:hAnsi="华文仿宋"/>
          <w:lang w:eastAsia="zh-CN"/>
        </w:rPr>
        <w:t>。</w:t>
      </w:r>
    </w:p>
    <w:p>
      <w:pPr>
        <w:pStyle w:val="2"/>
        <w:rPr>
          <w:rFonts w:hint="eastAsia" w:ascii="华文仿宋" w:hAnsi="华文仿宋" w:eastAsia="华文仿宋"/>
          <w:lang w:eastAsia="zh-CN"/>
        </w:rPr>
      </w:pPr>
      <w:bookmarkStart w:id="10" w:name="_Toc3563"/>
      <w:r>
        <w:rPr>
          <w:rFonts w:hint="eastAsia" w:ascii="华文仿宋" w:hAnsi="华文仿宋" w:eastAsia="华文仿宋"/>
          <w:b w:val="0"/>
        </w:rPr>
        <w:t>二、</w:t>
      </w:r>
      <w:r>
        <w:rPr>
          <w:rFonts w:hint="eastAsia" w:ascii="华文仿宋" w:hAnsi="华文仿宋" w:eastAsia="华文仿宋"/>
          <w:lang w:eastAsia="zh-CN"/>
        </w:rPr>
        <w:t>境内资产管理业务的现状及发展趋势</w:t>
      </w:r>
      <w:bookmarkEnd w:id="10"/>
    </w:p>
    <w:p>
      <w:pPr>
        <w:pStyle w:val="3"/>
        <w:rPr>
          <w:rFonts w:hint="eastAsia" w:ascii="华文仿宋" w:hAnsi="华文仿宋" w:eastAsia="华文仿宋"/>
          <w:lang w:eastAsia="zh-CN"/>
        </w:rPr>
      </w:pPr>
      <w:bookmarkStart w:id="11" w:name="_Toc25794"/>
      <w:r>
        <w:rPr>
          <w:rFonts w:hint="eastAsia" w:ascii="华文仿宋" w:hAnsi="华文仿宋" w:eastAsia="华文仿宋"/>
        </w:rPr>
        <w:t>2.1我国居民金融资产配置发展空间</w:t>
      </w:r>
      <w:r>
        <w:rPr>
          <w:rFonts w:hint="eastAsia" w:ascii="华文仿宋" w:hAnsi="华文仿宋" w:eastAsia="华文仿宋"/>
          <w:lang w:eastAsia="zh-CN"/>
        </w:rPr>
        <w:t>广阔</w:t>
      </w:r>
      <w:bookmarkEnd w:id="11"/>
    </w:p>
    <w:p>
      <w:pPr>
        <w:ind w:firstLine="480" w:firstLineChars="200"/>
        <w:rPr>
          <w:rFonts w:hint="eastAsia" w:ascii="华文仿宋" w:hAnsi="华文仿宋" w:eastAsia="华文仿宋"/>
          <w:lang w:eastAsia="zh-CN"/>
        </w:rPr>
      </w:pPr>
      <w:r>
        <w:rPr>
          <w:rFonts w:hint="eastAsia" w:ascii="华文仿宋" w:hAnsi="华文仿宋"/>
          <w:b/>
          <w:bCs/>
          <w:lang w:eastAsia="zh-CN"/>
        </w:rPr>
        <w:t>（</w:t>
      </w:r>
      <w:r>
        <w:rPr>
          <w:rFonts w:hint="eastAsia" w:ascii="华文仿宋" w:hAnsi="华文仿宋"/>
          <w:b/>
          <w:bCs/>
          <w:lang w:val="en-US" w:eastAsia="zh-CN"/>
        </w:rPr>
        <w:t>1</w:t>
      </w:r>
      <w:r>
        <w:rPr>
          <w:rFonts w:hint="eastAsia" w:ascii="华文仿宋" w:hAnsi="华文仿宋"/>
          <w:b/>
          <w:bCs/>
          <w:lang w:eastAsia="zh-CN"/>
        </w:rPr>
        <w:t>）</w:t>
      </w:r>
      <w:r>
        <w:rPr>
          <w:rFonts w:hint="eastAsia" w:ascii="华文仿宋" w:hAnsi="华文仿宋"/>
          <w:b/>
          <w:bCs/>
        </w:rPr>
        <w:t>我国居民金融资产配置占总财富的比例相对较低，发展空间广阔。</w:t>
      </w:r>
      <w:r>
        <w:rPr>
          <w:rFonts w:hint="eastAsia" w:ascii="华文仿宋" w:hAnsi="华文仿宋"/>
        </w:rPr>
        <w:t>根据《中国家庭财富调查报告》，截止2017年末，房产净值仍是我国家庭财富中主要构成部分，占比66.4%（城镇地区69.7%、农村地区51.3%）；金融资产占比16.3%（城镇地区15.1%、农村地区21.5%）。美国、英国、新加坡等发达国家的居民金融资产配置比例在50%左右，随着我国经济发展，在“房住不炒”政策基调下，预计居民金融资产配置有较大提升空间</w:t>
      </w:r>
      <w:r>
        <w:rPr>
          <w:rFonts w:hint="eastAsia" w:ascii="华文仿宋" w:hAnsi="华文仿宋"/>
          <w:lang w:eastAsia="zh-CN"/>
        </w:rPr>
        <w:t>。</w:t>
      </w:r>
    </w:p>
    <w:p>
      <w:pPr>
        <w:ind w:firstLine="480" w:firstLineChars="200"/>
        <w:rPr>
          <w:rFonts w:hint="eastAsia" w:ascii="华文仿宋" w:hAnsi="华文仿宋"/>
          <w:lang w:eastAsia="zh-CN"/>
        </w:rPr>
      </w:pPr>
      <w:r>
        <w:rPr>
          <w:rFonts w:hint="eastAsia" w:ascii="华文仿宋" w:hAnsi="华文仿宋"/>
          <w:b/>
          <w:bCs/>
          <w:lang w:eastAsia="zh-CN"/>
        </w:rPr>
        <w:t>（</w:t>
      </w:r>
      <w:r>
        <w:rPr>
          <w:rFonts w:hint="eastAsia" w:ascii="华文仿宋" w:hAnsi="华文仿宋"/>
          <w:b/>
          <w:bCs/>
          <w:lang w:val="en-US" w:eastAsia="zh-CN"/>
        </w:rPr>
        <w:t>2</w:t>
      </w:r>
      <w:r>
        <w:rPr>
          <w:rFonts w:hint="eastAsia" w:ascii="华文仿宋" w:hAnsi="华文仿宋"/>
          <w:b/>
          <w:bCs/>
          <w:lang w:eastAsia="zh-CN"/>
        </w:rPr>
        <w:t>）</w:t>
      </w:r>
      <w:r>
        <w:rPr>
          <w:rFonts w:hint="eastAsia" w:ascii="华文仿宋" w:hAnsi="华文仿宋"/>
          <w:b/>
          <w:bCs/>
        </w:rPr>
        <w:t>居民金融资产以现金、存款为主，其他资产类型中银行理财和货币基金占比较高。</w:t>
      </w:r>
      <w:r>
        <w:rPr>
          <w:rFonts w:hint="eastAsia" w:ascii="华文仿宋" w:hAnsi="华文仿宋"/>
        </w:rPr>
        <w:t>从居民金融资产的结构来看，现金和存款仍是最主要的配置形式，占比达到52%；随着金融市场发展和居民理财意识提高，银行理财和货币基金等中低风险、稳健收益型产品占比上升至16%，股票、保险、信托、私募等其他金融资产占比均不足10%</w:t>
      </w:r>
      <w:r>
        <w:rPr>
          <w:rFonts w:hint="eastAsia" w:ascii="华文仿宋" w:hAnsi="华文仿宋"/>
          <w:lang w:eastAsia="zh-CN"/>
        </w:rPr>
        <w:t>。</w:t>
      </w:r>
    </w:p>
    <w:p>
      <w:pPr>
        <w:rPr>
          <w:rFonts w:hint="eastAsia" w:ascii="华文仿宋" w:hAnsi="华文仿宋"/>
          <w:lang w:eastAsia="zh-CN"/>
        </w:rPr>
      </w:pPr>
      <w:r>
        <w:rPr>
          <w:rFonts w:hint="eastAsia" w:ascii="华文仿宋" w:hAnsi="华文仿宋"/>
          <w:bCs/>
          <w:sz w:val="22"/>
        </w:rPr>
        <w:t>图表</w:t>
      </w:r>
      <w:r>
        <w:rPr>
          <w:rFonts w:hint="eastAsia" w:ascii="华文仿宋" w:hAnsi="华文仿宋"/>
          <w:bCs/>
          <w:sz w:val="22"/>
          <w:lang w:val="en-US" w:eastAsia="zh-CN"/>
        </w:rPr>
        <w:t>5：各国家庭金融资产配置占比及我国居民金融资产构成</w:t>
      </w:r>
    </w:p>
    <w:p>
      <w:pPr>
        <w:ind w:firstLine="480" w:firstLineChars="200"/>
        <w:rPr>
          <w:rFonts w:hint="eastAsia" w:ascii="华文仿宋" w:hAnsi="华文仿宋"/>
        </w:rPr>
      </w:pPr>
      <w:r>
        <w:drawing>
          <wp:anchor distT="0" distB="0" distL="114935" distR="114935" simplePos="0" relativeHeight="251660288" behindDoc="0" locked="0" layoutInCell="1" allowOverlap="1">
            <wp:simplePos x="0" y="0"/>
            <wp:positionH relativeFrom="column">
              <wp:posOffset>-505460</wp:posOffset>
            </wp:positionH>
            <wp:positionV relativeFrom="paragraph">
              <wp:posOffset>139065</wp:posOffset>
            </wp:positionV>
            <wp:extent cx="6614160" cy="2079625"/>
            <wp:effectExtent l="0" t="0" r="15240" b="15875"/>
            <wp:wrapTopAndBottom/>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6614160" cy="2079625"/>
                    </a:xfrm>
                    <a:prstGeom prst="rect">
                      <a:avLst/>
                    </a:prstGeom>
                    <a:noFill/>
                    <a:ln>
                      <a:noFill/>
                    </a:ln>
                  </pic:spPr>
                </pic:pic>
              </a:graphicData>
            </a:graphic>
          </wp:anchor>
        </w:drawing>
      </w:r>
    </w:p>
    <w:p>
      <w:pPr>
        <w:pStyle w:val="3"/>
        <w:rPr>
          <w:rFonts w:ascii="华文仿宋" w:hAnsi="华文仿宋" w:eastAsia="华文仿宋"/>
        </w:rPr>
      </w:pPr>
      <w:bookmarkStart w:id="12" w:name="_Toc2310"/>
      <w:r>
        <w:rPr>
          <w:rFonts w:hint="eastAsia" w:ascii="华文仿宋" w:hAnsi="华文仿宋" w:eastAsia="华文仿宋"/>
        </w:rPr>
        <w:t>2.2境内资产管理业务概览</w:t>
      </w:r>
      <w:bookmarkEnd w:id="12"/>
    </w:p>
    <w:p>
      <w:pPr>
        <w:ind w:firstLine="480" w:firstLineChars="200"/>
        <w:rPr>
          <w:rFonts w:hint="eastAsia" w:ascii="华文仿宋" w:hAnsi="华文仿宋"/>
          <w:lang w:eastAsia="zh-CN"/>
        </w:rPr>
      </w:pPr>
      <w:r>
        <w:rPr>
          <w:rFonts w:hint="eastAsia" w:ascii="华文仿宋" w:hAnsi="华文仿宋"/>
        </w:rPr>
        <w:t>大资管格局下银行的资产管理规模占绝对优势。截至2018年末，我国资产管理规模达到117万亿（未剔除交叉持有）。其中，银行理财规模最高，共32万亿，占比27%；信托计划、保险资管分别占比16%、13%，公募基金产品、专户产品、券商资管、私募基金产品占比集中在10%-11%。由于基金专户、券商资管、信托计划等资金部分来源于银行理财，若剔除交叉持有，银行理财占资产管理总规模更高。根据央行数据，2016年剔除交叉持有的资产管理规模共60万亿，其中银行理财占比近50%</w:t>
      </w:r>
      <w:r>
        <w:rPr>
          <w:rFonts w:hint="eastAsia" w:ascii="华文仿宋" w:hAnsi="华文仿宋"/>
          <w:lang w:eastAsia="zh-CN"/>
        </w:rPr>
        <w:t>。</w:t>
      </w:r>
    </w:p>
    <w:p>
      <w:pPr>
        <w:ind w:firstLine="440" w:firstLineChars="200"/>
        <w:rPr>
          <w:rFonts w:hint="eastAsia" w:ascii="华文仿宋" w:hAnsi="华文仿宋"/>
        </w:rPr>
      </w:pPr>
      <w:r>
        <w:rPr>
          <w:rFonts w:hint="eastAsia" w:ascii="华文仿宋" w:hAnsi="华文仿宋"/>
          <w:bCs/>
          <w:sz w:val="22"/>
        </w:rPr>
        <w:t>图表</w:t>
      </w:r>
      <w:r>
        <w:rPr>
          <w:rFonts w:hint="eastAsia" w:ascii="华文仿宋" w:hAnsi="华文仿宋"/>
          <w:bCs/>
          <w:sz w:val="22"/>
          <w:lang w:val="en-US" w:eastAsia="zh-CN"/>
        </w:rPr>
        <w:t>6：中国各行业资产管理规模</w:t>
      </w:r>
    </w:p>
    <w:p>
      <w:pPr>
        <w:ind w:firstLine="480" w:firstLineChars="200"/>
      </w:pPr>
      <w:r>
        <w:drawing>
          <wp:inline distT="0" distB="0" distL="114300" distR="114300">
            <wp:extent cx="4173220" cy="2351405"/>
            <wp:effectExtent l="0" t="0" r="17780" b="1079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4"/>
                    <a:stretch>
                      <a:fillRect/>
                    </a:stretch>
                  </pic:blipFill>
                  <pic:spPr>
                    <a:xfrm>
                      <a:off x="0" y="0"/>
                      <a:ext cx="4173220" cy="2351405"/>
                    </a:xfrm>
                    <a:prstGeom prst="rect">
                      <a:avLst/>
                    </a:prstGeom>
                    <a:noFill/>
                    <a:ln>
                      <a:noFill/>
                    </a:ln>
                  </pic:spPr>
                </pic:pic>
              </a:graphicData>
            </a:graphic>
          </wp:inline>
        </w:drawing>
      </w:r>
    </w:p>
    <w:p>
      <w:pPr>
        <w:ind w:firstLine="440" w:firstLineChars="200"/>
        <w:rPr>
          <w:rFonts w:hint="eastAsia"/>
        </w:rPr>
      </w:pPr>
      <w:r>
        <w:rPr>
          <w:rFonts w:hint="eastAsia" w:ascii="华文仿宋" w:hAnsi="华文仿宋"/>
          <w:bCs/>
          <w:sz w:val="22"/>
        </w:rPr>
        <w:t>图表</w:t>
      </w:r>
      <w:r>
        <w:rPr>
          <w:rFonts w:hint="eastAsia" w:ascii="华文仿宋" w:hAnsi="华文仿宋"/>
          <w:bCs/>
          <w:sz w:val="22"/>
          <w:lang w:val="en-US" w:eastAsia="zh-CN"/>
        </w:rPr>
        <w:t>7：中国各行业资管规模增速</w:t>
      </w:r>
    </w:p>
    <w:p>
      <w:pPr>
        <w:ind w:firstLine="480" w:firstLineChars="200"/>
      </w:pPr>
      <w:r>
        <w:drawing>
          <wp:inline distT="0" distB="0" distL="114300" distR="114300">
            <wp:extent cx="3991610" cy="2287270"/>
            <wp:effectExtent l="0" t="0" r="8890" b="1778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
                    <pic:cNvPicPr>
                      <a:picLocks noChangeAspect="1"/>
                    </pic:cNvPicPr>
                  </pic:nvPicPr>
                  <pic:blipFill>
                    <a:blip r:embed="rId15"/>
                    <a:stretch>
                      <a:fillRect/>
                    </a:stretch>
                  </pic:blipFill>
                  <pic:spPr>
                    <a:xfrm>
                      <a:off x="0" y="0"/>
                      <a:ext cx="3991610" cy="2287270"/>
                    </a:xfrm>
                    <a:prstGeom prst="rect">
                      <a:avLst/>
                    </a:prstGeom>
                    <a:noFill/>
                    <a:ln>
                      <a:noFill/>
                    </a:ln>
                  </pic:spPr>
                </pic:pic>
              </a:graphicData>
            </a:graphic>
          </wp:inline>
        </w:drawing>
      </w:r>
    </w:p>
    <w:p>
      <w:pPr>
        <w:ind w:firstLine="440" w:firstLineChars="200"/>
        <w:rPr>
          <w:rFonts w:hint="default"/>
          <w:lang w:val="en-US"/>
        </w:rPr>
      </w:pPr>
      <w:r>
        <w:rPr>
          <w:rFonts w:hint="eastAsia" w:ascii="华文仿宋" w:hAnsi="华文仿宋"/>
          <w:bCs/>
          <w:sz w:val="22"/>
        </w:rPr>
        <w:t>图表</w:t>
      </w:r>
      <w:r>
        <w:rPr>
          <w:rFonts w:hint="eastAsia" w:ascii="华文仿宋" w:hAnsi="华文仿宋"/>
          <w:bCs/>
          <w:sz w:val="22"/>
          <w:lang w:val="en-US" w:eastAsia="zh-CN"/>
        </w:rPr>
        <w:t>8：2018年末中国各行业资产管理规模</w:t>
      </w:r>
    </w:p>
    <w:p>
      <w:pPr>
        <w:ind w:firstLine="480" w:firstLineChars="200"/>
        <w:rPr>
          <w:rFonts w:hint="eastAsia"/>
        </w:rPr>
      </w:pPr>
      <w:r>
        <w:drawing>
          <wp:inline distT="0" distB="0" distL="114300" distR="114300">
            <wp:extent cx="3447415" cy="2036445"/>
            <wp:effectExtent l="0" t="0" r="635" b="1905"/>
            <wp:docPr id="2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pic:cNvPicPr>
                      <a:picLocks noChangeAspect="1"/>
                    </pic:cNvPicPr>
                  </pic:nvPicPr>
                  <pic:blipFill>
                    <a:blip r:embed="rId16"/>
                    <a:stretch>
                      <a:fillRect/>
                    </a:stretch>
                  </pic:blipFill>
                  <pic:spPr>
                    <a:xfrm>
                      <a:off x="0" y="0"/>
                      <a:ext cx="3447415" cy="2036445"/>
                    </a:xfrm>
                    <a:prstGeom prst="rect">
                      <a:avLst/>
                    </a:prstGeom>
                    <a:noFill/>
                    <a:ln>
                      <a:noFill/>
                    </a:ln>
                  </pic:spPr>
                </pic:pic>
              </a:graphicData>
            </a:graphic>
          </wp:inline>
        </w:drawing>
      </w:r>
    </w:p>
    <w:p>
      <w:pPr>
        <w:pStyle w:val="3"/>
        <w:rPr>
          <w:rFonts w:hint="eastAsia" w:ascii="华文仿宋" w:hAnsi="华文仿宋" w:eastAsia="华文仿宋"/>
        </w:rPr>
      </w:pPr>
      <w:bookmarkStart w:id="13" w:name="_Toc15564"/>
      <w:r>
        <w:rPr>
          <w:rFonts w:hint="eastAsia" w:ascii="华文仿宋" w:hAnsi="华文仿宋" w:eastAsia="华文仿宋"/>
        </w:rPr>
        <w:t>2.3境内资产管理业务特点</w:t>
      </w:r>
      <w:bookmarkEnd w:id="13"/>
    </w:p>
    <w:p>
      <w:pPr>
        <w:pStyle w:val="4"/>
        <w:rPr>
          <w:rFonts w:hint="eastAsia" w:ascii="华文仿宋" w:hAnsi="华文仿宋" w:eastAsia="华文仿宋"/>
          <w:lang w:eastAsia="zh-CN"/>
        </w:rPr>
      </w:pPr>
      <w:bookmarkStart w:id="14" w:name="_Toc12020"/>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1</w:t>
      </w:r>
      <w:r>
        <w:rPr>
          <w:rFonts w:hint="eastAsia" w:ascii="华文仿宋" w:hAnsi="华文仿宋" w:eastAsia="华文仿宋"/>
          <w:lang w:eastAsia="zh-CN"/>
        </w:rPr>
        <w:t>银行等债券投资占比较高</w:t>
      </w:r>
      <w:bookmarkEnd w:id="14"/>
    </w:p>
    <w:p>
      <w:pPr>
        <w:ind w:firstLine="480" w:firstLineChars="200"/>
        <w:rPr>
          <w:rFonts w:hint="eastAsia" w:eastAsia="华文仿宋"/>
          <w:lang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rPr>
        <w:t>资产配置种类方面，</w:t>
      </w:r>
      <w:r>
        <w:rPr>
          <w:rFonts w:hint="eastAsia"/>
        </w:rPr>
        <w:t>银行理财、券商资管、公募基金以债券、股票、现金为主，银行还包括信贷资产、汇率、商品以及非标等其他资产</w:t>
      </w:r>
      <w:r>
        <w:rPr>
          <w:rFonts w:hint="eastAsia"/>
          <w:lang w:eastAsia="zh-CN"/>
        </w:rPr>
        <w:t>。</w:t>
      </w:r>
    </w:p>
    <w:p>
      <w:pPr>
        <w:ind w:firstLine="480" w:firstLineChars="200"/>
        <w:rPr>
          <w:rFonts w:hint="eastAsia" w:eastAsia="华文仿宋"/>
          <w:lang w:eastAsia="zh-CN"/>
        </w:rPr>
      </w:pPr>
      <w:r>
        <w:rPr>
          <w:rFonts w:hint="eastAsia"/>
          <w:b/>
          <w:bCs/>
          <w:lang w:eastAsia="zh-CN"/>
        </w:rPr>
        <w:t>（</w:t>
      </w:r>
      <w:r>
        <w:rPr>
          <w:rFonts w:hint="eastAsia"/>
          <w:b/>
          <w:bCs/>
          <w:lang w:val="en-US" w:eastAsia="zh-CN"/>
        </w:rPr>
        <w:t>2</w:t>
      </w:r>
      <w:r>
        <w:rPr>
          <w:rFonts w:hint="eastAsia"/>
          <w:b/>
          <w:bCs/>
          <w:lang w:eastAsia="zh-CN"/>
        </w:rPr>
        <w:t>）</w:t>
      </w:r>
      <w:r>
        <w:rPr>
          <w:rFonts w:hint="eastAsia"/>
          <w:b/>
          <w:bCs/>
        </w:rPr>
        <w:t>结构上，对于银行、证券和基金来说，资产配置总债券占比较高。</w:t>
      </w:r>
      <w:r>
        <w:rPr>
          <w:rFonts w:hint="eastAsia"/>
        </w:rPr>
        <w:t>银行理财、券商资管、公募基金的债券占比均在50%左右；公募基金的股票及现金资产占比相对较高，均值分别为15%、28%</w:t>
      </w:r>
      <w:r>
        <w:rPr>
          <w:rFonts w:hint="eastAsia"/>
          <w:lang w:eastAsia="zh-CN"/>
        </w:rPr>
        <w:t>。</w:t>
      </w:r>
    </w:p>
    <w:p>
      <w:r>
        <w:rPr>
          <w:rFonts w:hint="eastAsia" w:ascii="华文仿宋" w:hAnsi="华文仿宋"/>
          <w:bCs/>
          <w:sz w:val="22"/>
        </w:rPr>
        <w:t>图表</w:t>
      </w:r>
      <w:r>
        <w:rPr>
          <w:rFonts w:hint="eastAsia" w:ascii="华文仿宋" w:hAnsi="华文仿宋"/>
          <w:bCs/>
          <w:sz w:val="22"/>
          <w:lang w:val="en-US" w:eastAsia="zh-CN"/>
        </w:rPr>
        <w:t>9：部分资管行业资产配置结构</w:t>
      </w:r>
    </w:p>
    <w:p>
      <w:r>
        <w:drawing>
          <wp:inline distT="0" distB="0" distL="114300" distR="114300">
            <wp:extent cx="4591050" cy="2743200"/>
            <wp:effectExtent l="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7"/>
                    <a:stretch>
                      <a:fillRect/>
                    </a:stretch>
                  </pic:blipFill>
                  <pic:spPr>
                    <a:xfrm>
                      <a:off x="0" y="0"/>
                      <a:ext cx="4591050" cy="2743200"/>
                    </a:xfrm>
                    <a:prstGeom prst="rect">
                      <a:avLst/>
                    </a:prstGeom>
                    <a:noFill/>
                    <a:ln>
                      <a:noFill/>
                    </a:ln>
                  </pic:spPr>
                </pic:pic>
              </a:graphicData>
            </a:graphic>
          </wp:inline>
        </w:drawing>
      </w:r>
    </w:p>
    <w:p/>
    <w:p/>
    <w:p/>
    <w:p/>
    <w:p/>
    <w:p/>
    <w:p>
      <w:r>
        <w:rPr>
          <w:rFonts w:hint="eastAsia" w:ascii="华文仿宋" w:hAnsi="华文仿宋"/>
          <w:bCs/>
          <w:sz w:val="22"/>
        </w:rPr>
        <w:t>图表</w:t>
      </w:r>
      <w:r>
        <w:rPr>
          <w:rFonts w:hint="eastAsia" w:ascii="华文仿宋" w:hAnsi="华文仿宋"/>
          <w:bCs/>
          <w:sz w:val="22"/>
          <w:lang w:val="en-US" w:eastAsia="zh-CN"/>
        </w:rPr>
        <w:t>10：不同报告期内部分资管行业资产配置结构</w:t>
      </w:r>
    </w:p>
    <w:p>
      <w:pPr>
        <w:rPr>
          <w:rFonts w:hint="eastAsia" w:ascii="华文仿宋" w:hAnsi="华文仿宋"/>
        </w:rPr>
      </w:pPr>
      <w:r>
        <w:drawing>
          <wp:inline distT="0" distB="0" distL="114300" distR="114300">
            <wp:extent cx="4066540" cy="4049395"/>
            <wp:effectExtent l="0" t="0" r="10160" b="825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8"/>
                    <a:stretch>
                      <a:fillRect/>
                    </a:stretch>
                  </pic:blipFill>
                  <pic:spPr>
                    <a:xfrm>
                      <a:off x="0" y="0"/>
                      <a:ext cx="4066540" cy="4049395"/>
                    </a:xfrm>
                    <a:prstGeom prst="rect">
                      <a:avLst/>
                    </a:prstGeom>
                    <a:noFill/>
                    <a:ln>
                      <a:noFill/>
                    </a:ln>
                  </pic:spPr>
                </pic:pic>
              </a:graphicData>
            </a:graphic>
          </wp:inline>
        </w:drawing>
      </w:r>
    </w:p>
    <w:p>
      <w:pPr>
        <w:pStyle w:val="4"/>
        <w:rPr>
          <w:rFonts w:hint="eastAsia" w:ascii="华文仿宋" w:hAnsi="华文仿宋" w:eastAsia="华文仿宋"/>
          <w:lang w:eastAsia="zh-CN"/>
        </w:rPr>
      </w:pPr>
      <w:bookmarkStart w:id="15" w:name="_Toc8831"/>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2大资管政策趋严</w:t>
      </w:r>
      <w:bookmarkEnd w:id="15"/>
    </w:p>
    <w:p>
      <w:pPr>
        <w:ind w:firstLine="480" w:firstLineChars="200"/>
        <w:rPr>
          <w:rFonts w:hint="eastAsia" w:ascii="华文仿宋" w:hAnsi="华文仿宋" w:eastAsia="华文仿宋"/>
          <w:lang w:eastAsia="zh-CN"/>
        </w:rPr>
      </w:pPr>
      <w:r>
        <w:rPr>
          <w:rFonts w:hint="eastAsia" w:ascii="华文仿宋" w:hAnsi="华文仿宋"/>
        </w:rPr>
        <w:t>2018年4月27日，央行发布《关于规范金融机构资产管理业务的指导意见》（“资管新规”正式稿）</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rPr>
        <w:t>2018年7月20日，央行发布《关于进一步明确规范金融机构资产管理业务指导意见有关事项的通知》，对资管新规的框架做了部分调整</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b/>
          <w:bCs/>
        </w:rPr>
        <w:t>资管业务定义：</w:t>
      </w:r>
      <w:r>
        <w:rPr>
          <w:rFonts w:hint="eastAsia" w:ascii="华文仿宋" w:hAnsi="华文仿宋"/>
        </w:rPr>
        <w:t>根据资管新规，资产管理业务是指银行、信托、证券、基金、期货、保险资产管理机构、金融资产投资公司等金融机构接受投资者委托，对受托的投资者财产进行投资和管理的金融服务</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rPr>
        <w:t>资管新规标志着金融监管协同框架的初步建立，从净值化管理、打破刚兑、消除多层嵌套、统一杠杆水平等多个方面对资产管理业务提出了统一要求</w:t>
      </w:r>
      <w:r>
        <w:rPr>
          <w:rFonts w:hint="eastAsia" w:ascii="华文仿宋" w:hAnsi="华文仿宋"/>
          <w:lang w:eastAsia="zh-CN"/>
        </w:rPr>
        <w:t>。</w:t>
      </w:r>
    </w:p>
    <w:p>
      <w:pPr>
        <w:rPr>
          <w:rFonts w:hint="eastAsia" w:ascii="华文仿宋" w:hAnsi="华文仿宋"/>
        </w:rPr>
      </w:pPr>
      <w:r>
        <w:rPr>
          <w:rFonts w:hint="eastAsia" w:ascii="华文仿宋" w:hAnsi="华文仿宋"/>
          <w:bCs/>
          <w:sz w:val="22"/>
        </w:rPr>
        <w:t>图表</w:t>
      </w:r>
      <w:r>
        <w:rPr>
          <w:rFonts w:hint="eastAsia" w:ascii="华文仿宋" w:hAnsi="华文仿宋"/>
          <w:bCs/>
          <w:sz w:val="22"/>
          <w:lang w:val="en-US" w:eastAsia="zh-CN"/>
        </w:rPr>
        <w:t>11：资管新规主要内容</w:t>
      </w:r>
    </w:p>
    <w:p>
      <w:pPr>
        <w:rPr>
          <w:rFonts w:hint="eastAsia" w:ascii="华文仿宋" w:hAnsi="华文仿宋"/>
        </w:rPr>
      </w:pPr>
      <w:r>
        <w:drawing>
          <wp:inline distT="0" distB="0" distL="114300" distR="114300">
            <wp:extent cx="4770120" cy="3546475"/>
            <wp:effectExtent l="0" t="0" r="11430" b="1587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9"/>
                    <a:stretch>
                      <a:fillRect/>
                    </a:stretch>
                  </pic:blipFill>
                  <pic:spPr>
                    <a:xfrm>
                      <a:off x="0" y="0"/>
                      <a:ext cx="4770120" cy="3546475"/>
                    </a:xfrm>
                    <a:prstGeom prst="rect">
                      <a:avLst/>
                    </a:prstGeom>
                    <a:noFill/>
                    <a:ln>
                      <a:noFill/>
                    </a:ln>
                  </pic:spPr>
                </pic:pic>
              </a:graphicData>
            </a:graphic>
          </wp:inline>
        </w:drawing>
      </w:r>
    </w:p>
    <w:p>
      <w:pPr>
        <w:pStyle w:val="4"/>
        <w:rPr>
          <w:rFonts w:hint="eastAsia" w:ascii="华文仿宋" w:hAnsi="华文仿宋" w:eastAsia="华文仿宋"/>
          <w:lang w:eastAsia="zh-CN"/>
        </w:rPr>
      </w:pPr>
      <w:bookmarkStart w:id="16" w:name="_Toc21127"/>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3子行业要求趋向统一</w:t>
      </w:r>
      <w:bookmarkEnd w:id="16"/>
    </w:p>
    <w:p>
      <w:pPr>
        <w:rPr>
          <w:rFonts w:hint="eastAsia" w:ascii="华文仿宋" w:hAnsi="华文仿宋"/>
        </w:rPr>
      </w:pPr>
      <w:r>
        <w:rPr>
          <w:rFonts w:hint="eastAsia" w:ascii="华文仿宋" w:hAnsi="华文仿宋"/>
          <w:bCs/>
          <w:sz w:val="22"/>
        </w:rPr>
        <w:t>图表</w:t>
      </w:r>
      <w:r>
        <w:rPr>
          <w:rFonts w:hint="eastAsia" w:ascii="华文仿宋" w:hAnsi="华文仿宋"/>
          <w:bCs/>
          <w:sz w:val="22"/>
          <w:lang w:val="en-US" w:eastAsia="zh-CN"/>
        </w:rPr>
        <w:t>12：各资管机构监管要求</w:t>
      </w:r>
    </w:p>
    <w:p>
      <w:pPr>
        <w:rPr>
          <w:rFonts w:hint="eastAsia" w:ascii="华文仿宋" w:hAnsi="华文仿宋"/>
        </w:rPr>
      </w:pPr>
      <w:r>
        <w:drawing>
          <wp:anchor distT="0" distB="0" distL="114935" distR="114935" simplePos="0" relativeHeight="251661312" behindDoc="0" locked="0" layoutInCell="1" allowOverlap="1">
            <wp:simplePos x="0" y="0"/>
            <wp:positionH relativeFrom="column">
              <wp:posOffset>-418465</wp:posOffset>
            </wp:positionH>
            <wp:positionV relativeFrom="paragraph">
              <wp:posOffset>175260</wp:posOffset>
            </wp:positionV>
            <wp:extent cx="6049645" cy="3169920"/>
            <wp:effectExtent l="0" t="0" r="8255" b="11430"/>
            <wp:wrapTopAndBottom/>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0"/>
                    <a:stretch>
                      <a:fillRect/>
                    </a:stretch>
                  </pic:blipFill>
                  <pic:spPr>
                    <a:xfrm>
                      <a:off x="0" y="0"/>
                      <a:ext cx="6049645" cy="3169920"/>
                    </a:xfrm>
                    <a:prstGeom prst="rect">
                      <a:avLst/>
                    </a:prstGeom>
                    <a:noFill/>
                    <a:ln>
                      <a:noFill/>
                    </a:ln>
                  </pic:spPr>
                </pic:pic>
              </a:graphicData>
            </a:graphic>
          </wp:anchor>
        </w:drawing>
      </w:r>
    </w:p>
    <w:p>
      <w:pPr>
        <w:pStyle w:val="4"/>
        <w:rPr>
          <w:rFonts w:hint="eastAsia" w:ascii="华文仿宋" w:hAnsi="华文仿宋" w:eastAsia="华文仿宋"/>
          <w:lang w:eastAsia="zh-CN"/>
        </w:rPr>
      </w:pPr>
      <w:bookmarkStart w:id="17" w:name="_Toc10340"/>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4加快金融双向开放</w:t>
      </w:r>
      <w:bookmarkEnd w:id="17"/>
    </w:p>
    <w:p>
      <w:pPr>
        <w:ind w:firstLine="480" w:firstLineChars="200"/>
        <w:rPr>
          <w:rFonts w:hint="eastAsia" w:ascii="华文仿宋" w:hAnsi="华文仿宋" w:eastAsia="华文仿宋"/>
          <w:lang w:eastAsia="zh-CN"/>
        </w:rPr>
      </w:pPr>
      <w:r>
        <w:rPr>
          <w:rFonts w:hint="eastAsia" w:ascii="华文仿宋" w:hAnsi="华文仿宋"/>
          <w:b/>
          <w:bCs/>
          <w:lang w:eastAsia="zh-CN"/>
        </w:rPr>
        <w:t>（</w:t>
      </w:r>
      <w:r>
        <w:rPr>
          <w:rFonts w:hint="eastAsia" w:ascii="华文仿宋" w:hAnsi="华文仿宋"/>
          <w:b/>
          <w:bCs/>
          <w:lang w:val="en-US" w:eastAsia="zh-CN"/>
        </w:rPr>
        <w:t>1</w:t>
      </w:r>
      <w:r>
        <w:rPr>
          <w:rFonts w:hint="eastAsia" w:ascii="华文仿宋" w:hAnsi="华文仿宋"/>
          <w:b/>
          <w:bCs/>
          <w:lang w:eastAsia="zh-CN"/>
        </w:rPr>
        <w:t>）</w:t>
      </w:r>
      <w:r>
        <w:rPr>
          <w:rFonts w:hint="eastAsia" w:ascii="华文仿宋" w:hAnsi="华文仿宋"/>
          <w:b/>
          <w:bCs/>
        </w:rPr>
        <w:t>对外开放是促进我国金融体系健康发展的必经之路</w:t>
      </w:r>
      <w:r>
        <w:rPr>
          <w:rFonts w:hint="eastAsia" w:ascii="华文仿宋" w:hAnsi="华文仿宋"/>
        </w:rPr>
        <w:t>，2002年以来，随着QFII、QDII、互联互通等政策的实行，中国金融对外开放加速推进</w:t>
      </w:r>
      <w:r>
        <w:rPr>
          <w:rFonts w:hint="eastAsia" w:ascii="华文仿宋" w:hAnsi="华文仿宋"/>
          <w:lang w:eastAsia="zh-CN"/>
        </w:rPr>
        <w:t>。</w:t>
      </w:r>
    </w:p>
    <w:p>
      <w:pPr>
        <w:ind w:firstLine="480" w:firstLineChars="200"/>
        <w:rPr>
          <w:rFonts w:hint="eastAsia" w:ascii="华文仿宋" w:hAnsi="华文仿宋" w:eastAsia="华文仿宋"/>
          <w:lang w:eastAsia="zh-CN"/>
        </w:rPr>
      </w:pPr>
      <w:r>
        <w:rPr>
          <w:rFonts w:hint="eastAsia" w:ascii="华文仿宋" w:hAnsi="华文仿宋"/>
          <w:b/>
          <w:bCs/>
          <w:lang w:eastAsia="zh-CN"/>
        </w:rPr>
        <w:t>（</w:t>
      </w:r>
      <w:r>
        <w:rPr>
          <w:rFonts w:hint="eastAsia" w:ascii="华文仿宋" w:hAnsi="华文仿宋"/>
          <w:b/>
          <w:bCs/>
          <w:lang w:val="en-US" w:eastAsia="zh-CN"/>
        </w:rPr>
        <w:t>2</w:t>
      </w:r>
      <w:r>
        <w:rPr>
          <w:rFonts w:hint="eastAsia" w:ascii="华文仿宋" w:hAnsi="华文仿宋"/>
          <w:b/>
          <w:bCs/>
          <w:lang w:eastAsia="zh-CN"/>
        </w:rPr>
        <w:t>）</w:t>
      </w:r>
      <w:r>
        <w:rPr>
          <w:rFonts w:hint="eastAsia" w:ascii="华文仿宋" w:hAnsi="华文仿宋"/>
          <w:b/>
          <w:bCs/>
        </w:rPr>
        <w:t>扩大开放是由我国经济发展现状和“坚持改革开放、促进经济发展”的指导思想决定的</w:t>
      </w:r>
      <w:r>
        <w:rPr>
          <w:rFonts w:hint="eastAsia" w:ascii="华文仿宋" w:hAnsi="华文仿宋"/>
        </w:rPr>
        <w:t>。一方面，当前我国经济发展面临新的风险挑战，国内外风险挑战明显增多，经济发展对国内金融体系提出了更高需要；另一方面，政策强调“深化金融改革开放，平衡好稳增长和防风险的关系”和“增强金融服务实体经济能力”并举，扩大开放是由坚持改革开放、促进经济发展的指导思想决定的</w:t>
      </w:r>
      <w:r>
        <w:rPr>
          <w:rFonts w:hint="eastAsia" w:ascii="华文仿宋" w:hAnsi="华文仿宋"/>
          <w:lang w:eastAsia="zh-CN"/>
        </w:rPr>
        <w:t>。</w:t>
      </w:r>
    </w:p>
    <w:p>
      <w:pPr>
        <w:ind w:firstLine="480" w:firstLineChars="200"/>
        <w:rPr>
          <w:rFonts w:hint="eastAsia" w:ascii="华文仿宋" w:hAnsi="华文仿宋"/>
          <w:lang w:eastAsia="zh-CN"/>
        </w:rPr>
      </w:pPr>
      <w:r>
        <w:rPr>
          <w:rFonts w:hint="eastAsia" w:ascii="华文仿宋" w:hAnsi="华文仿宋"/>
          <w:b/>
          <w:bCs/>
          <w:lang w:eastAsia="zh-CN"/>
        </w:rPr>
        <w:t>（</w:t>
      </w:r>
      <w:r>
        <w:rPr>
          <w:rFonts w:hint="eastAsia" w:ascii="华文仿宋" w:hAnsi="华文仿宋"/>
          <w:b/>
          <w:bCs/>
          <w:lang w:val="en-US" w:eastAsia="zh-CN"/>
        </w:rPr>
        <w:t>3</w:t>
      </w:r>
      <w:r>
        <w:rPr>
          <w:rFonts w:hint="eastAsia" w:ascii="华文仿宋" w:hAnsi="华文仿宋"/>
          <w:b/>
          <w:bCs/>
          <w:lang w:eastAsia="zh-CN"/>
        </w:rPr>
        <w:t>）</w:t>
      </w:r>
      <w:r>
        <w:rPr>
          <w:rFonts w:hint="eastAsia" w:ascii="华文仿宋" w:hAnsi="华文仿宋"/>
          <w:b/>
          <w:bCs/>
        </w:rPr>
        <w:t>“新十一条”金融业对外开放措施涵盖债券市场、银行保险市场和证券市场等多领域</w:t>
      </w:r>
      <w:r>
        <w:rPr>
          <w:rFonts w:hint="eastAsia" w:ascii="华文仿宋" w:hAnsi="华文仿宋"/>
        </w:rPr>
        <w:t>，不仅有利于提高中国金融市场竞争力，也将使境外投资者享受到中国发展的红利</w:t>
      </w:r>
      <w:r>
        <w:rPr>
          <w:rFonts w:hint="eastAsia" w:ascii="华文仿宋" w:hAnsi="华文仿宋"/>
          <w:lang w:eastAsia="zh-CN"/>
        </w:rPr>
        <w:t>。</w:t>
      </w:r>
    </w:p>
    <w:p>
      <w:pPr>
        <w:rPr>
          <w:rFonts w:hint="eastAsia" w:ascii="华文仿宋" w:hAnsi="华文仿宋"/>
          <w:lang w:eastAsia="zh-CN"/>
        </w:rPr>
      </w:pPr>
      <w:r>
        <w:rPr>
          <w:rFonts w:hint="eastAsia" w:ascii="华文仿宋" w:hAnsi="华文仿宋"/>
          <w:bCs/>
          <w:sz w:val="22"/>
        </w:rPr>
        <w:t>图表</w:t>
      </w:r>
      <w:r>
        <w:rPr>
          <w:rFonts w:hint="eastAsia" w:ascii="华文仿宋" w:hAnsi="华文仿宋"/>
          <w:bCs/>
          <w:sz w:val="22"/>
          <w:lang w:val="en-US" w:eastAsia="zh-CN"/>
        </w:rPr>
        <w:t>13：金融业对外开放进程</w:t>
      </w:r>
    </w:p>
    <w:p>
      <w:pPr>
        <w:rPr>
          <w:rFonts w:hint="eastAsia" w:ascii="华文仿宋" w:hAnsi="华文仿宋"/>
        </w:rPr>
      </w:pPr>
      <w:r>
        <w:drawing>
          <wp:inline distT="0" distB="0" distL="114300" distR="114300">
            <wp:extent cx="5274310" cy="942340"/>
            <wp:effectExtent l="0" t="0" r="2540" b="1016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1"/>
                    <a:stretch>
                      <a:fillRect/>
                    </a:stretch>
                  </pic:blipFill>
                  <pic:spPr>
                    <a:xfrm>
                      <a:off x="0" y="0"/>
                      <a:ext cx="5274310" cy="942340"/>
                    </a:xfrm>
                    <a:prstGeom prst="rect">
                      <a:avLst/>
                    </a:prstGeom>
                    <a:noFill/>
                    <a:ln>
                      <a:noFill/>
                    </a:ln>
                  </pic:spPr>
                </pic:pic>
              </a:graphicData>
            </a:graphic>
          </wp:inline>
        </w:drawing>
      </w:r>
    </w:p>
    <w:p>
      <w:pPr>
        <w:jc w:val="center"/>
        <w:rPr>
          <w:rFonts w:hint="eastAsia" w:ascii="华文仿宋" w:hAnsi="华文仿宋"/>
        </w:rPr>
      </w:pPr>
      <w:r>
        <w:drawing>
          <wp:inline distT="0" distB="0" distL="114300" distR="114300">
            <wp:extent cx="3556635" cy="2822575"/>
            <wp:effectExtent l="0" t="0" r="5715" b="15875"/>
            <wp:docPr id="2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pic:cNvPicPr>
                      <a:picLocks noChangeAspect="1"/>
                    </pic:cNvPicPr>
                  </pic:nvPicPr>
                  <pic:blipFill>
                    <a:blip r:embed="rId22"/>
                    <a:stretch>
                      <a:fillRect/>
                    </a:stretch>
                  </pic:blipFill>
                  <pic:spPr>
                    <a:xfrm>
                      <a:off x="0" y="0"/>
                      <a:ext cx="3556635" cy="2822575"/>
                    </a:xfrm>
                    <a:prstGeom prst="rect">
                      <a:avLst/>
                    </a:prstGeom>
                    <a:noFill/>
                    <a:ln>
                      <a:noFill/>
                    </a:ln>
                  </pic:spPr>
                </pic:pic>
              </a:graphicData>
            </a:graphic>
          </wp:inline>
        </w:drawing>
      </w:r>
    </w:p>
    <w:p>
      <w:pPr>
        <w:pStyle w:val="3"/>
        <w:rPr>
          <w:rFonts w:ascii="华文仿宋" w:hAnsi="华文仿宋" w:eastAsia="华文仿宋"/>
        </w:rPr>
      </w:pPr>
      <w:bookmarkStart w:id="18" w:name="_Toc8990"/>
      <w:r>
        <w:rPr>
          <w:rFonts w:hint="eastAsia" w:ascii="华文仿宋" w:hAnsi="华文仿宋" w:eastAsia="华文仿宋"/>
        </w:rPr>
        <w:t>2.4境内资管业务发展趋势分析</w:t>
      </w:r>
      <w:bookmarkEnd w:id="18"/>
    </w:p>
    <w:p>
      <w:pPr>
        <w:pStyle w:val="4"/>
        <w:rPr>
          <w:rFonts w:hint="eastAsia" w:ascii="华文仿宋" w:hAnsi="华文仿宋" w:eastAsia="华文仿宋"/>
          <w:lang w:eastAsia="zh-CN"/>
        </w:rPr>
      </w:pPr>
      <w:bookmarkStart w:id="19" w:name="_Toc29556"/>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1发展机遇</w:t>
      </w:r>
      <w:bookmarkEnd w:id="19"/>
    </w:p>
    <w:p>
      <w:pPr>
        <w:ind w:firstLine="480" w:firstLineChars="200"/>
        <w:rPr>
          <w:rFonts w:hint="eastAsia" w:ascii="华文仿宋" w:hAnsi="华文仿宋" w:eastAsia="华文仿宋"/>
          <w:lang w:val="en-US" w:eastAsia="zh-CN"/>
        </w:rPr>
      </w:pPr>
      <w:r>
        <w:rPr>
          <w:rFonts w:hint="eastAsia" w:ascii="华文仿宋" w:hAnsi="华文仿宋"/>
          <w:b/>
          <w:bCs/>
          <w:lang w:eastAsia="zh-CN"/>
        </w:rPr>
        <w:t>（</w:t>
      </w:r>
      <w:r>
        <w:rPr>
          <w:rFonts w:hint="eastAsia" w:ascii="华文仿宋" w:hAnsi="华文仿宋"/>
          <w:b/>
          <w:bCs/>
          <w:lang w:val="en-US" w:eastAsia="zh-CN"/>
        </w:rPr>
        <w:t>1</w:t>
      </w:r>
      <w:r>
        <w:rPr>
          <w:rFonts w:hint="eastAsia" w:ascii="华文仿宋" w:hAnsi="华文仿宋"/>
          <w:b/>
          <w:bCs/>
          <w:lang w:eastAsia="zh-CN"/>
        </w:rPr>
        <w:t>）市场运行平稳，有利于获取稳健收益：</w:t>
      </w:r>
      <w:r>
        <w:rPr>
          <w:rFonts w:hint="eastAsia" w:ascii="华文仿宋" w:hAnsi="华文仿宋"/>
          <w:lang w:eastAsia="zh-CN"/>
        </w:rPr>
        <w:t>与欧美等发达国家相比，我国金融市场运行平稳，金融活跃度与市场发展阶段相适应，未出现金融危机等系统性风险。且投资标的种类丰富，有利于资管业务获取稳健收益。</w:t>
      </w:r>
    </w:p>
    <w:p>
      <w:pPr>
        <w:ind w:firstLine="480" w:firstLineChars="200"/>
        <w:rPr>
          <w:rFonts w:hint="eastAsia" w:ascii="华文仿宋" w:hAnsi="华文仿宋"/>
          <w:lang w:eastAsia="zh-CN"/>
        </w:rPr>
      </w:pPr>
      <w:r>
        <w:rPr>
          <w:rFonts w:hint="eastAsia" w:ascii="华文仿宋" w:hAnsi="华文仿宋"/>
          <w:b/>
          <w:bCs/>
          <w:lang w:eastAsia="zh-CN"/>
        </w:rPr>
        <w:t>（</w:t>
      </w:r>
      <w:r>
        <w:rPr>
          <w:rFonts w:hint="eastAsia" w:ascii="华文仿宋" w:hAnsi="华文仿宋"/>
          <w:b/>
          <w:bCs/>
          <w:lang w:val="en-US" w:eastAsia="zh-CN"/>
        </w:rPr>
        <w:t>2</w:t>
      </w:r>
      <w:r>
        <w:rPr>
          <w:rFonts w:hint="eastAsia" w:ascii="华文仿宋" w:hAnsi="华文仿宋"/>
          <w:b/>
          <w:bCs/>
          <w:lang w:eastAsia="zh-CN"/>
        </w:rPr>
        <w:t>）行业政策规范，有利于持续健康发展：</w:t>
      </w:r>
      <w:r>
        <w:rPr>
          <w:rFonts w:hint="eastAsia" w:ascii="华文仿宋" w:hAnsi="华文仿宋"/>
          <w:lang w:eastAsia="zh-CN"/>
        </w:rPr>
        <w:t>资管新规统一规制各类金融机构的资管业务，最大程度消除监管套利空间，降低金融风险，促进资管业务规范发展。金融双向开放程度不断提升，为跨境业务带来新的机遇。</w:t>
      </w:r>
    </w:p>
    <w:p>
      <w:pPr>
        <w:ind w:firstLine="480" w:firstLineChars="200"/>
        <w:rPr>
          <w:rFonts w:hint="eastAsia" w:ascii="华文仿宋" w:hAnsi="华文仿宋"/>
        </w:rPr>
      </w:pPr>
      <w:r>
        <w:rPr>
          <w:rFonts w:hint="eastAsia" w:ascii="华文仿宋" w:hAnsi="华文仿宋"/>
          <w:b/>
          <w:bCs/>
          <w:lang w:eastAsia="zh-CN"/>
        </w:rPr>
        <w:t>（</w:t>
      </w:r>
      <w:r>
        <w:rPr>
          <w:rFonts w:hint="eastAsia" w:ascii="华文仿宋" w:hAnsi="华文仿宋"/>
          <w:b/>
          <w:bCs/>
          <w:lang w:val="en-US" w:eastAsia="zh-CN"/>
        </w:rPr>
        <w:t>3</w:t>
      </w:r>
      <w:r>
        <w:rPr>
          <w:rFonts w:hint="eastAsia" w:ascii="华文仿宋" w:hAnsi="华文仿宋"/>
          <w:b/>
          <w:bCs/>
          <w:lang w:eastAsia="zh-CN"/>
        </w:rPr>
        <w:t>）客户需求强劲，有利于提升业务规模：</w:t>
      </w:r>
      <w:r>
        <w:rPr>
          <w:rFonts w:hint="eastAsia" w:ascii="华文仿宋" w:hAnsi="华文仿宋"/>
          <w:lang w:eastAsia="zh-CN"/>
        </w:rPr>
        <w:t>随着居民财富不断积累、理财意识增强，客户配置需求更加强劲。尤其是机构客户在资管业务中占比较高，其投资需求的增长有利于为资管业务提供持续稳定的资金来源。</w:t>
      </w:r>
    </w:p>
    <w:p>
      <w:pPr>
        <w:pStyle w:val="4"/>
        <w:rPr>
          <w:rFonts w:hint="eastAsia" w:ascii="华文仿宋" w:hAnsi="华文仿宋" w:eastAsia="华文仿宋"/>
          <w:lang w:eastAsia="zh-CN"/>
        </w:rPr>
      </w:pPr>
      <w:bookmarkStart w:id="20" w:name="_Toc24726"/>
      <w:r>
        <w:rPr>
          <w:rFonts w:hint="eastAsia" w:ascii="华文仿宋" w:hAnsi="华文仿宋" w:eastAsia="华文仿宋"/>
          <w:lang w:val="en-US" w:eastAsia="zh-CN"/>
        </w:rPr>
        <w:t>2</w:t>
      </w:r>
      <w:r>
        <w:rPr>
          <w:rFonts w:hint="eastAsia" w:ascii="华文仿宋" w:hAnsi="华文仿宋" w:eastAsia="华文仿宋"/>
        </w:rPr>
        <w:t>.</w:t>
      </w:r>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2面临挑战</w:t>
      </w:r>
      <w:bookmarkEnd w:id="20"/>
    </w:p>
    <w:p>
      <w:pPr>
        <w:numPr>
          <w:ilvl w:val="0"/>
          <w:numId w:val="0"/>
        </w:numPr>
        <w:ind w:firstLine="480" w:firstLineChars="200"/>
        <w:rPr>
          <w:rFonts w:hint="eastAsia" w:ascii="华文仿宋" w:hAnsi="华文仿宋"/>
          <w:lang w:val="en-US" w:eastAsia="zh-CN"/>
        </w:rPr>
      </w:pPr>
      <w:r>
        <w:rPr>
          <w:rFonts w:hint="eastAsia" w:ascii="华文仿宋" w:hAnsi="华文仿宋"/>
          <w:b/>
          <w:bCs/>
          <w:lang w:eastAsia="zh-CN"/>
        </w:rPr>
        <w:t>（</w:t>
      </w:r>
      <w:r>
        <w:rPr>
          <w:rFonts w:hint="eastAsia" w:ascii="华文仿宋" w:hAnsi="华文仿宋"/>
          <w:b/>
          <w:bCs/>
          <w:lang w:val="en-US" w:eastAsia="zh-CN"/>
        </w:rPr>
        <w:t>1</w:t>
      </w:r>
      <w:r>
        <w:rPr>
          <w:rFonts w:hint="eastAsia" w:ascii="华文仿宋" w:hAnsi="华文仿宋"/>
          <w:b/>
          <w:bCs/>
          <w:lang w:eastAsia="zh-CN"/>
        </w:rPr>
        <w:t>）行业发展质量不高，转型压力凸显：</w:t>
      </w:r>
      <w:r>
        <w:rPr>
          <w:rFonts w:hint="eastAsia" w:ascii="华文仿宋" w:hAnsi="华文仿宋"/>
          <w:lang w:eastAsia="zh-CN"/>
        </w:rPr>
        <w:t>金融市场加快开放使得国际竞争更加激烈，与成熟市场相比，我国资管行业在产品管理、投资运作、技术支持等方面仍存在较大差距，经营模式亟需市场化转型。</w:t>
      </w:r>
    </w:p>
    <w:p>
      <w:pPr>
        <w:numPr>
          <w:ilvl w:val="0"/>
          <w:numId w:val="0"/>
        </w:numPr>
        <w:ind w:firstLine="480" w:firstLineChars="200"/>
        <w:rPr>
          <w:rFonts w:hint="eastAsia" w:ascii="华文仿宋" w:hAnsi="华文仿宋"/>
          <w:lang w:val="en-US" w:eastAsia="zh-CN"/>
        </w:rPr>
      </w:pPr>
      <w:r>
        <w:rPr>
          <w:rFonts w:hint="eastAsia" w:ascii="华文仿宋" w:hAnsi="华文仿宋"/>
          <w:b/>
          <w:bCs/>
          <w:lang w:val="en-US" w:eastAsia="zh-CN"/>
        </w:rPr>
        <w:t>（2）</w:t>
      </w:r>
      <w:r>
        <w:rPr>
          <w:rFonts w:hint="default" w:ascii="华文仿宋" w:hAnsi="华文仿宋"/>
          <w:b/>
          <w:bCs/>
          <w:lang w:val="en-US" w:eastAsia="zh-CN"/>
        </w:rPr>
        <w:t>风险管控要求提升，合规压力增大</w:t>
      </w:r>
      <w:r>
        <w:rPr>
          <w:rFonts w:hint="default" w:ascii="华文仿宋" w:hAnsi="华文仿宋"/>
          <w:lang w:val="en-US" w:eastAsia="zh-CN"/>
        </w:rPr>
        <w:t>：经济增速放缓、监管趋严环境下，对资管业务的合规风控能力提出更高要求，资管业务进一步转向规范经营，违规成本提高，合规风控压力增大</w:t>
      </w:r>
      <w:r>
        <w:rPr>
          <w:rFonts w:hint="eastAsia" w:ascii="华文仿宋" w:hAnsi="华文仿宋"/>
          <w:lang w:val="en-US" w:eastAsia="zh-CN"/>
        </w:rPr>
        <w:t>。</w:t>
      </w:r>
    </w:p>
    <w:p>
      <w:pPr>
        <w:numPr>
          <w:ilvl w:val="0"/>
          <w:numId w:val="0"/>
        </w:numPr>
        <w:ind w:firstLine="480" w:firstLineChars="200"/>
        <w:rPr>
          <w:rFonts w:hint="eastAsia" w:ascii="华文仿宋" w:hAnsi="华文仿宋"/>
          <w:lang w:val="en-US" w:eastAsia="zh-CN"/>
        </w:rPr>
      </w:pPr>
      <w:r>
        <w:rPr>
          <w:rFonts w:hint="eastAsia" w:ascii="华文仿宋" w:hAnsi="华文仿宋"/>
          <w:b/>
          <w:bCs/>
          <w:lang w:val="en-US" w:eastAsia="zh-CN"/>
        </w:rPr>
        <w:t>（3）运营基础薄弱，支持业务能力不足：</w:t>
      </w:r>
      <w:r>
        <w:rPr>
          <w:rFonts w:hint="eastAsia" w:ascii="华文仿宋" w:hAnsi="华文仿宋"/>
          <w:lang w:val="en-US" w:eastAsia="zh-CN"/>
        </w:rPr>
        <w:t>境内资管行业发展经验不足，在技术、系统、人员、风险管控、运营等方面的能力仍不足以支持业务快速发展和市场化转型，在科技应用和系统建设方面有待提高。</w:t>
      </w:r>
    </w:p>
    <w:p>
      <w:pPr>
        <w:pStyle w:val="2"/>
        <w:ind w:left="142"/>
        <w:rPr>
          <w:rFonts w:ascii="华文仿宋" w:hAnsi="华文仿宋" w:eastAsia="华文仿宋"/>
        </w:rPr>
      </w:pPr>
      <w:bookmarkStart w:id="21" w:name="_Toc24501"/>
      <w:r>
        <w:rPr>
          <w:rFonts w:hint="eastAsia" w:ascii="华文仿宋" w:hAnsi="华文仿宋" w:eastAsia="华文仿宋"/>
        </w:rPr>
        <w:t>三、银行理财业务的现状及展望</w:t>
      </w:r>
      <w:bookmarkEnd w:id="21"/>
    </w:p>
    <w:p>
      <w:pPr>
        <w:pStyle w:val="3"/>
        <w:rPr>
          <w:rFonts w:hint="eastAsia" w:ascii="华文仿宋" w:hAnsi="华文仿宋" w:eastAsia="华文仿宋"/>
          <w:bCs/>
          <w:lang w:eastAsia="zh-CN"/>
        </w:rPr>
      </w:pPr>
      <w:bookmarkStart w:id="22" w:name="_Toc11253"/>
      <w:r>
        <w:rPr>
          <w:rFonts w:hint="eastAsia" w:ascii="华文仿宋" w:hAnsi="华文仿宋" w:eastAsia="华文仿宋"/>
          <w:lang w:val="en-US" w:eastAsia="zh-CN"/>
        </w:rPr>
        <w:t>3.1</w:t>
      </w:r>
      <w:r>
        <w:rPr>
          <w:rFonts w:hint="eastAsia" w:ascii="华文仿宋" w:hAnsi="华文仿宋" w:eastAsia="华文仿宋"/>
        </w:rPr>
        <w:t>银行理财</w:t>
      </w:r>
      <w:r>
        <w:rPr>
          <w:rFonts w:hint="eastAsia" w:ascii="华文仿宋" w:hAnsi="华文仿宋" w:eastAsia="华文仿宋"/>
          <w:lang w:eastAsia="zh-CN"/>
        </w:rPr>
        <w:t>业务概览</w:t>
      </w:r>
      <w:bookmarkEnd w:id="22"/>
    </w:p>
    <w:p>
      <w:pPr>
        <w:ind w:firstLine="480" w:firstLineChars="200"/>
        <w:rPr>
          <w:rFonts w:hint="eastAsia" w:eastAsia="华文仿宋"/>
          <w:bCs/>
          <w:lang w:eastAsia="zh-CN"/>
        </w:rPr>
      </w:pPr>
      <w:r>
        <w:rPr>
          <w:rFonts w:hint="eastAsia"/>
          <w:bCs/>
        </w:rPr>
        <w:t>截至2018年，我国银行理财总规模达到32万亿，非保本理财产品存续余额22万亿（全国共有403家银行业金融机构有存续的非保本理财产品），与2017年底基本持平，全年呈现前高后低的变化趋势</w:t>
      </w:r>
      <w:r>
        <w:rPr>
          <w:rFonts w:hint="eastAsia"/>
          <w:bCs/>
          <w:lang w:eastAsia="zh-CN"/>
        </w:rPr>
        <w:t>。</w:t>
      </w:r>
    </w:p>
    <w:p>
      <w:pPr>
        <w:ind w:firstLine="480" w:firstLineChars="200"/>
        <w:rPr>
          <w:rFonts w:hint="eastAsia"/>
          <w:bCs/>
          <w:lang w:eastAsia="zh-CN"/>
        </w:rPr>
      </w:pPr>
      <w:r>
        <w:rPr>
          <w:rFonts w:hint="eastAsia"/>
          <w:bCs/>
        </w:rPr>
        <w:t>债券是理财产品重点配置的资产，在非保本理财资金各类资产中占比达到53%，存款、债券及货币市场工具的余额合计占非保本理财产品投资余额的66%。从债券种类看，国债、地方债等利率债品种占非保本理财资产余额的8%，商业性金融债、企业债券等信用债占45%</w:t>
      </w:r>
      <w:r>
        <w:rPr>
          <w:rFonts w:hint="eastAsia"/>
          <w:bCs/>
          <w:lang w:eastAsia="zh-CN"/>
        </w:rPr>
        <w:t>。</w:t>
      </w:r>
    </w:p>
    <w:p>
      <w:pPr>
        <w:rPr>
          <w:rFonts w:hint="eastAsia"/>
          <w:bCs/>
          <w:lang w:eastAsia="zh-CN"/>
        </w:rPr>
      </w:pPr>
      <w:r>
        <w:rPr>
          <w:rFonts w:hint="eastAsia" w:ascii="华文仿宋" w:hAnsi="华文仿宋"/>
          <w:bCs/>
          <w:sz w:val="22"/>
        </w:rPr>
        <w:t>图表</w:t>
      </w:r>
      <w:r>
        <w:rPr>
          <w:rFonts w:hint="eastAsia" w:ascii="华文仿宋" w:hAnsi="华文仿宋"/>
          <w:bCs/>
          <w:sz w:val="22"/>
          <w:lang w:val="en-US" w:eastAsia="zh-CN"/>
        </w:rPr>
        <w:t>14：银行理财规模及增速</w:t>
      </w:r>
    </w:p>
    <w:p>
      <w:r>
        <w:drawing>
          <wp:inline distT="0" distB="0" distL="114300" distR="114300">
            <wp:extent cx="4343400" cy="2524125"/>
            <wp:effectExtent l="0" t="0" r="0" b="9525"/>
            <wp:docPr id="2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9"/>
                    <pic:cNvPicPr>
                      <a:picLocks noChangeAspect="1"/>
                    </pic:cNvPicPr>
                  </pic:nvPicPr>
                  <pic:blipFill>
                    <a:blip r:embed="rId23"/>
                    <a:stretch>
                      <a:fillRect/>
                    </a:stretch>
                  </pic:blipFill>
                  <pic:spPr>
                    <a:xfrm>
                      <a:off x="0" y="0"/>
                      <a:ext cx="4343400" cy="2524125"/>
                    </a:xfrm>
                    <a:prstGeom prst="rect">
                      <a:avLst/>
                    </a:prstGeom>
                    <a:noFill/>
                    <a:ln>
                      <a:noFill/>
                    </a:ln>
                  </pic:spPr>
                </pic:pic>
              </a:graphicData>
            </a:graphic>
          </wp:inline>
        </w:drawing>
      </w:r>
    </w:p>
    <w:p/>
    <w:p/>
    <w:p/>
    <w:p/>
    <w:p>
      <w:r>
        <w:rPr>
          <w:rFonts w:hint="eastAsia" w:ascii="华文仿宋" w:hAnsi="华文仿宋"/>
          <w:bCs/>
          <w:sz w:val="22"/>
        </w:rPr>
        <w:t>图表</w:t>
      </w:r>
      <w:r>
        <w:rPr>
          <w:rFonts w:hint="eastAsia" w:ascii="华文仿宋" w:hAnsi="华文仿宋"/>
          <w:bCs/>
          <w:sz w:val="22"/>
          <w:lang w:val="en-US" w:eastAsia="zh-CN"/>
        </w:rPr>
        <w:t>15：非保本理财产品存续情况</w:t>
      </w:r>
    </w:p>
    <w:p>
      <w:r>
        <w:drawing>
          <wp:inline distT="0" distB="0" distL="114300" distR="114300">
            <wp:extent cx="5269865" cy="3030220"/>
            <wp:effectExtent l="0" t="0" r="6985" b="17780"/>
            <wp:docPr id="2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0"/>
                    <pic:cNvPicPr>
                      <a:picLocks noChangeAspect="1"/>
                    </pic:cNvPicPr>
                  </pic:nvPicPr>
                  <pic:blipFill>
                    <a:blip r:embed="rId24"/>
                    <a:stretch>
                      <a:fillRect/>
                    </a:stretch>
                  </pic:blipFill>
                  <pic:spPr>
                    <a:xfrm>
                      <a:off x="0" y="0"/>
                      <a:ext cx="5269865" cy="3030220"/>
                    </a:xfrm>
                    <a:prstGeom prst="rect">
                      <a:avLst/>
                    </a:prstGeom>
                    <a:noFill/>
                    <a:ln>
                      <a:noFill/>
                    </a:ln>
                  </pic:spPr>
                </pic:pic>
              </a:graphicData>
            </a:graphic>
          </wp:inline>
        </w:drawing>
      </w:r>
    </w:p>
    <w:p/>
    <w:p>
      <w:pPr>
        <w:rPr>
          <w:bCs/>
        </w:rPr>
      </w:pPr>
      <w:r>
        <w:rPr>
          <w:rFonts w:hint="eastAsia" w:ascii="华文仿宋" w:hAnsi="华文仿宋"/>
          <w:bCs/>
          <w:sz w:val="22"/>
        </w:rPr>
        <w:t>图表</w:t>
      </w:r>
      <w:r>
        <w:rPr>
          <w:rFonts w:hint="eastAsia" w:ascii="华文仿宋" w:hAnsi="华文仿宋"/>
          <w:bCs/>
          <w:sz w:val="22"/>
          <w:lang w:val="en-US" w:eastAsia="zh-CN"/>
        </w:rPr>
        <w:t>16：非保本理财产品资产配置情况</w:t>
      </w:r>
    </w:p>
    <w:p>
      <w:pPr>
        <w:rPr>
          <w:bCs/>
        </w:rPr>
      </w:pPr>
      <w:r>
        <w:drawing>
          <wp:inline distT="0" distB="0" distL="114300" distR="114300">
            <wp:extent cx="4724400" cy="2828925"/>
            <wp:effectExtent l="0" t="0" r="0" b="9525"/>
            <wp:docPr id="3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1"/>
                    <pic:cNvPicPr>
                      <a:picLocks noChangeAspect="1"/>
                    </pic:cNvPicPr>
                  </pic:nvPicPr>
                  <pic:blipFill>
                    <a:blip r:embed="rId25"/>
                    <a:stretch>
                      <a:fillRect/>
                    </a:stretch>
                  </pic:blipFill>
                  <pic:spPr>
                    <a:xfrm>
                      <a:off x="0" y="0"/>
                      <a:ext cx="4724400" cy="2828925"/>
                    </a:xfrm>
                    <a:prstGeom prst="rect">
                      <a:avLst/>
                    </a:prstGeom>
                    <a:noFill/>
                    <a:ln>
                      <a:noFill/>
                    </a:ln>
                  </pic:spPr>
                </pic:pic>
              </a:graphicData>
            </a:graphic>
          </wp:inline>
        </w:drawing>
      </w:r>
    </w:p>
    <w:p/>
    <w:p>
      <w:pPr>
        <w:pStyle w:val="3"/>
        <w:rPr>
          <w:rFonts w:hint="eastAsia" w:ascii="华文仿宋" w:hAnsi="华文仿宋" w:eastAsia="华文仿宋"/>
          <w:bCs/>
          <w:lang w:eastAsia="zh-CN"/>
        </w:rPr>
      </w:pPr>
      <w:bookmarkStart w:id="23" w:name="_Toc21191"/>
      <w:r>
        <w:rPr>
          <w:rFonts w:hint="eastAsia" w:ascii="华文仿宋" w:hAnsi="华文仿宋" w:eastAsia="华文仿宋"/>
          <w:lang w:val="en-US" w:eastAsia="zh-CN"/>
        </w:rPr>
        <w:t>3.2</w:t>
      </w:r>
      <w:r>
        <w:rPr>
          <w:rFonts w:hint="eastAsia" w:ascii="华文仿宋" w:hAnsi="华文仿宋" w:eastAsia="华文仿宋"/>
          <w:lang w:eastAsia="zh-CN"/>
        </w:rPr>
        <w:t>存续银行理财产品特点</w:t>
      </w:r>
      <w:bookmarkEnd w:id="23"/>
    </w:p>
    <w:p>
      <w:pPr>
        <w:ind w:firstLine="480" w:firstLineChars="200"/>
        <w:rPr>
          <w:rFonts w:hint="eastAsia" w:eastAsia="华文仿宋"/>
          <w:lang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rPr>
        <w:t>发行机构以大型银行和股份制银行为主。</w:t>
      </w:r>
      <w:r>
        <w:rPr>
          <w:rFonts w:hint="eastAsia"/>
        </w:rPr>
        <w:t>截至2018年，国有大型银行非保本理财产品存续余额为8.5万亿，市场占比39%；全国性股份制银行非保本理财产品余额为8.8万亿，占比40%，二者合计占总规模的79%</w:t>
      </w:r>
      <w:r>
        <w:rPr>
          <w:rFonts w:hint="eastAsia"/>
          <w:lang w:eastAsia="zh-CN"/>
        </w:rPr>
        <w:t>。</w:t>
      </w:r>
    </w:p>
    <w:p>
      <w:pPr>
        <w:ind w:firstLine="480" w:firstLineChars="200"/>
        <w:rPr>
          <w:rFonts w:hint="eastAsia" w:eastAsia="华文仿宋"/>
          <w:lang w:eastAsia="zh-CN"/>
        </w:rPr>
      </w:pPr>
      <w:r>
        <w:rPr>
          <w:rFonts w:hint="eastAsia"/>
          <w:b/>
          <w:bCs/>
          <w:lang w:eastAsia="zh-CN"/>
        </w:rPr>
        <w:t>（</w:t>
      </w:r>
      <w:r>
        <w:rPr>
          <w:rFonts w:hint="eastAsia"/>
          <w:b/>
          <w:bCs/>
          <w:lang w:val="en-US" w:eastAsia="zh-CN"/>
        </w:rPr>
        <w:t>2</w:t>
      </w:r>
      <w:r>
        <w:rPr>
          <w:rFonts w:hint="eastAsia"/>
          <w:b/>
          <w:bCs/>
          <w:lang w:eastAsia="zh-CN"/>
        </w:rPr>
        <w:t>）</w:t>
      </w:r>
      <w:r>
        <w:rPr>
          <w:rFonts w:hint="eastAsia"/>
          <w:b/>
          <w:bCs/>
        </w:rPr>
        <w:t>银行理财以个人类产品为主。</w:t>
      </w:r>
      <w:r>
        <w:rPr>
          <w:rFonts w:hint="eastAsia"/>
        </w:rPr>
        <w:t>截至2018年，面向个人投资者发行的一般个人类、高资产净值类、私人银行类非保本理财产品存续余额共19.2万亿，占总规模的87%</w:t>
      </w:r>
      <w:r>
        <w:rPr>
          <w:rFonts w:hint="eastAsia"/>
          <w:lang w:eastAsia="zh-CN"/>
        </w:rPr>
        <w:t>。</w:t>
      </w:r>
    </w:p>
    <w:p>
      <w:pPr>
        <w:ind w:firstLine="480" w:firstLineChars="200"/>
        <w:rPr>
          <w:rFonts w:hint="eastAsia"/>
          <w:lang w:eastAsia="zh-CN"/>
        </w:rPr>
      </w:pPr>
      <w:r>
        <w:rPr>
          <w:rFonts w:hint="eastAsia"/>
          <w:b/>
          <w:bCs/>
          <w:lang w:eastAsia="zh-CN"/>
        </w:rPr>
        <w:t>（</w:t>
      </w:r>
      <w:r>
        <w:rPr>
          <w:rFonts w:hint="eastAsia"/>
          <w:b/>
          <w:bCs/>
          <w:lang w:val="en-US" w:eastAsia="zh-CN"/>
        </w:rPr>
        <w:t>3</w:t>
      </w:r>
      <w:r>
        <w:rPr>
          <w:rFonts w:hint="eastAsia"/>
          <w:b/>
          <w:bCs/>
          <w:lang w:eastAsia="zh-CN"/>
        </w:rPr>
        <w:t>）</w:t>
      </w:r>
      <w:r>
        <w:rPr>
          <w:rFonts w:hint="eastAsia"/>
          <w:b/>
          <w:bCs/>
        </w:rPr>
        <w:t>同业理财规模与占比持续“双降”。</w:t>
      </w:r>
      <w:r>
        <w:rPr>
          <w:rFonts w:hint="eastAsia"/>
        </w:rPr>
        <w:t>截至2018年，金融同业类产品存续余额1.2万亿，降幅62.6%；占比3.8%，较2017年初下降19.1个百分点</w:t>
      </w:r>
      <w:r>
        <w:rPr>
          <w:rFonts w:hint="eastAsia"/>
          <w:lang w:eastAsia="zh-CN"/>
        </w:rPr>
        <w:t>。</w:t>
      </w:r>
    </w:p>
    <w:p>
      <w:pPr>
        <w:rPr>
          <w:rFonts w:hint="eastAsia"/>
          <w:lang w:eastAsia="zh-CN"/>
        </w:rPr>
      </w:pPr>
      <w:r>
        <w:rPr>
          <w:rFonts w:hint="eastAsia" w:ascii="华文仿宋" w:hAnsi="华文仿宋"/>
          <w:bCs/>
          <w:sz w:val="22"/>
        </w:rPr>
        <w:t>图表</w:t>
      </w:r>
      <w:r>
        <w:rPr>
          <w:rFonts w:hint="eastAsia" w:ascii="华文仿宋" w:hAnsi="华文仿宋"/>
          <w:bCs/>
          <w:sz w:val="22"/>
          <w:lang w:val="en-US" w:eastAsia="zh-CN"/>
        </w:rPr>
        <w:t>17：不同类型银行非保本理财产品存续情况</w:t>
      </w:r>
    </w:p>
    <w:p>
      <w:pPr>
        <w:jc w:val="center"/>
      </w:pPr>
      <w:r>
        <w:drawing>
          <wp:inline distT="0" distB="0" distL="114300" distR="114300">
            <wp:extent cx="3638550" cy="2295525"/>
            <wp:effectExtent l="0" t="0" r="0" b="952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26"/>
                    <a:stretch>
                      <a:fillRect/>
                    </a:stretch>
                  </pic:blipFill>
                  <pic:spPr>
                    <a:xfrm>
                      <a:off x="0" y="0"/>
                      <a:ext cx="3638550" cy="2295525"/>
                    </a:xfrm>
                    <a:prstGeom prst="rect">
                      <a:avLst/>
                    </a:prstGeom>
                    <a:noFill/>
                    <a:ln>
                      <a:noFill/>
                    </a:ln>
                  </pic:spPr>
                </pic:pic>
              </a:graphicData>
            </a:graphic>
          </wp:inline>
        </w:drawing>
      </w:r>
    </w:p>
    <w:p>
      <w:r>
        <w:rPr>
          <w:rFonts w:hint="eastAsia" w:ascii="华文仿宋" w:hAnsi="华文仿宋"/>
          <w:bCs/>
          <w:sz w:val="22"/>
        </w:rPr>
        <w:t>图表</w:t>
      </w:r>
      <w:r>
        <w:rPr>
          <w:rFonts w:hint="eastAsia" w:ascii="华文仿宋" w:hAnsi="华文仿宋"/>
          <w:bCs/>
          <w:sz w:val="22"/>
          <w:lang w:val="en-US" w:eastAsia="zh-CN"/>
        </w:rPr>
        <w:t>18：不同投资者类型非保本理财产品存续情况</w:t>
      </w:r>
    </w:p>
    <w:p>
      <w:r>
        <w:drawing>
          <wp:inline distT="0" distB="0" distL="114300" distR="114300">
            <wp:extent cx="4295775" cy="2600325"/>
            <wp:effectExtent l="0" t="0" r="9525" b="9525"/>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27"/>
                    <a:stretch>
                      <a:fillRect/>
                    </a:stretch>
                  </pic:blipFill>
                  <pic:spPr>
                    <a:xfrm>
                      <a:off x="0" y="0"/>
                      <a:ext cx="4295775" cy="2600325"/>
                    </a:xfrm>
                    <a:prstGeom prst="rect">
                      <a:avLst/>
                    </a:prstGeom>
                    <a:noFill/>
                    <a:ln>
                      <a:noFill/>
                    </a:ln>
                  </pic:spPr>
                </pic:pic>
              </a:graphicData>
            </a:graphic>
          </wp:inline>
        </w:drawing>
      </w:r>
    </w:p>
    <w:p/>
    <w:p>
      <w:r>
        <w:rPr>
          <w:rFonts w:hint="eastAsia" w:ascii="华文仿宋" w:hAnsi="华文仿宋"/>
          <w:bCs/>
          <w:sz w:val="22"/>
        </w:rPr>
        <w:t>图表</w:t>
      </w:r>
      <w:r>
        <w:rPr>
          <w:rFonts w:hint="eastAsia" w:ascii="华文仿宋" w:hAnsi="华文仿宋"/>
          <w:bCs/>
          <w:sz w:val="22"/>
          <w:lang w:val="en-US" w:eastAsia="zh-CN"/>
        </w:rPr>
        <w:t>19：金融同业类产品存续余额及占比情况</w:t>
      </w:r>
    </w:p>
    <w:p>
      <w:r>
        <w:drawing>
          <wp:inline distT="0" distB="0" distL="114300" distR="114300">
            <wp:extent cx="4591050" cy="2771775"/>
            <wp:effectExtent l="0" t="0" r="0" b="9525"/>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28"/>
                    <a:stretch>
                      <a:fillRect/>
                    </a:stretch>
                  </pic:blipFill>
                  <pic:spPr>
                    <a:xfrm>
                      <a:off x="0" y="0"/>
                      <a:ext cx="4591050" cy="2771775"/>
                    </a:xfrm>
                    <a:prstGeom prst="rect">
                      <a:avLst/>
                    </a:prstGeom>
                    <a:noFill/>
                    <a:ln>
                      <a:noFill/>
                    </a:ln>
                  </pic:spPr>
                </pic:pic>
              </a:graphicData>
            </a:graphic>
          </wp:inline>
        </w:drawing>
      </w:r>
    </w:p>
    <w:p/>
    <w:p>
      <w:pPr>
        <w:pStyle w:val="3"/>
        <w:rPr>
          <w:rFonts w:hint="eastAsia" w:ascii="华文仿宋" w:hAnsi="华文仿宋" w:eastAsia="华文仿宋"/>
          <w:bCs/>
          <w:lang w:eastAsia="zh-CN"/>
        </w:rPr>
      </w:pPr>
      <w:bookmarkStart w:id="24" w:name="_Toc16972"/>
      <w:r>
        <w:rPr>
          <w:rFonts w:hint="eastAsia" w:ascii="华文仿宋" w:hAnsi="华文仿宋" w:eastAsia="华文仿宋"/>
          <w:lang w:val="en-US" w:eastAsia="zh-CN"/>
        </w:rPr>
        <w:t>3.3</w:t>
      </w:r>
      <w:r>
        <w:rPr>
          <w:rFonts w:hint="eastAsia" w:ascii="华文仿宋" w:hAnsi="华文仿宋" w:eastAsia="华文仿宋"/>
          <w:lang w:eastAsia="zh-CN"/>
        </w:rPr>
        <w:t>新发行银行理财产品特点</w:t>
      </w:r>
      <w:bookmarkEnd w:id="24"/>
    </w:p>
    <w:p>
      <w:pPr>
        <w:pStyle w:val="4"/>
        <w:rPr>
          <w:rFonts w:hint="eastAsia" w:ascii="华文仿宋" w:hAnsi="华文仿宋" w:eastAsia="华文仿宋"/>
          <w:lang w:eastAsia="zh-CN"/>
        </w:rPr>
      </w:pPr>
      <w:bookmarkStart w:id="25" w:name="_Toc29631"/>
      <w:r>
        <w:rPr>
          <w:rFonts w:hint="eastAsia" w:ascii="华文仿宋" w:hAnsi="华文仿宋" w:eastAsia="华文仿宋"/>
          <w:lang w:val="en-US" w:eastAsia="zh-CN"/>
        </w:rPr>
        <w:t>3.3.1</w:t>
      </w:r>
      <w:r>
        <w:rPr>
          <w:rFonts w:hint="eastAsia" w:ascii="华文仿宋" w:hAnsi="华文仿宋" w:eastAsia="华文仿宋"/>
          <w:lang w:eastAsia="zh-CN"/>
        </w:rPr>
        <w:t>开放式产品募集资金占比较高</w:t>
      </w:r>
      <w:bookmarkEnd w:id="25"/>
    </w:p>
    <w:p>
      <w:pPr>
        <w:ind w:firstLine="480" w:firstLineChars="200"/>
        <w:rPr>
          <w:rFonts w:hint="eastAsia" w:eastAsia="华文仿宋"/>
          <w:lang w:eastAsia="zh-CN"/>
        </w:rPr>
      </w:pPr>
      <w:r>
        <w:rPr>
          <w:rFonts w:hint="eastAsia"/>
        </w:rPr>
        <w:t>2018年，全国共439家银行业金融机构发行了非保本理财产品，累计募集资金118万亿</w:t>
      </w:r>
      <w:r>
        <w:rPr>
          <w:rFonts w:hint="eastAsia"/>
          <w:lang w:eastAsia="zh-CN"/>
        </w:rPr>
        <w:t>。</w:t>
      </w:r>
    </w:p>
    <w:p>
      <w:pPr>
        <w:ind w:firstLine="480" w:firstLineChars="200"/>
        <w:rPr>
          <w:rFonts w:hint="eastAsia"/>
          <w:lang w:eastAsia="zh-CN"/>
        </w:rPr>
      </w:pPr>
      <w:r>
        <w:rPr>
          <w:rFonts w:hint="eastAsia"/>
        </w:rPr>
        <w:t>其中，开放式产品全年累计募集资金100万亿，占非保本理财产品募集总金额的85%，占比同比上升7个百分点；封闭式产品全年累计募集资金18万亿，占非保本  理财产品募集总金额的15%</w:t>
      </w:r>
      <w:r>
        <w:rPr>
          <w:rFonts w:hint="eastAsia"/>
          <w:lang w:eastAsia="zh-CN"/>
        </w:rPr>
        <w:t>。</w:t>
      </w:r>
    </w:p>
    <w:p>
      <w:pPr>
        <w:pStyle w:val="4"/>
        <w:rPr>
          <w:rFonts w:hint="eastAsia" w:ascii="华文仿宋" w:hAnsi="华文仿宋" w:eastAsia="华文仿宋"/>
          <w:lang w:eastAsia="zh-CN"/>
        </w:rPr>
      </w:pPr>
      <w:bookmarkStart w:id="26" w:name="_Toc7057"/>
      <w:r>
        <w:rPr>
          <w:rFonts w:hint="eastAsia" w:ascii="华文仿宋" w:hAnsi="华文仿宋" w:eastAsia="华文仿宋"/>
          <w:lang w:val="en-US" w:eastAsia="zh-CN"/>
        </w:rPr>
        <w:t>3.3.2</w:t>
      </w:r>
      <w:r>
        <w:rPr>
          <w:rFonts w:hint="eastAsia" w:ascii="华文仿宋" w:hAnsi="华文仿宋" w:eastAsia="华文仿宋"/>
          <w:lang w:eastAsia="zh-CN"/>
        </w:rPr>
        <w:t>新发行封闭式理财产品平均期限增加</w:t>
      </w:r>
      <w:bookmarkEnd w:id="26"/>
    </w:p>
    <w:p>
      <w:pPr>
        <w:numPr>
          <w:ilvl w:val="0"/>
          <w:numId w:val="0"/>
        </w:numPr>
        <w:ind w:firstLine="480" w:firstLineChars="200"/>
        <w:rPr>
          <w:rFonts w:hint="eastAsia" w:eastAsia="华文仿宋"/>
          <w:lang w:eastAsia="zh-CN"/>
        </w:rPr>
      </w:pPr>
      <w:r>
        <w:rPr>
          <w:rFonts w:hint="eastAsia"/>
        </w:rPr>
        <w:t>2018年，新发行封闭式非保本理财产品加权平均期限为161天，同比增加约20天</w:t>
      </w:r>
      <w:r>
        <w:rPr>
          <w:rFonts w:hint="eastAsia"/>
          <w:lang w:eastAsia="zh-CN"/>
        </w:rPr>
        <w:t>。</w:t>
      </w:r>
    </w:p>
    <w:p>
      <w:pPr>
        <w:ind w:firstLine="480" w:firstLineChars="200"/>
        <w:rPr>
          <w:rFonts w:hint="eastAsia" w:eastAsia="华文仿宋"/>
          <w:lang w:eastAsia="zh-CN"/>
        </w:rPr>
      </w:pPr>
      <w:r>
        <w:rPr>
          <w:rFonts w:hint="eastAsia"/>
        </w:rPr>
        <w:t>其中，新发行3个月（含）以下封闭式产品募集资金5万亿，同比减少7万亿，降幅为59%；占全部新发行封闭式非保本理财产品募集资金额的29%，同比下降16个百分点</w:t>
      </w:r>
      <w:r>
        <w:rPr>
          <w:rFonts w:hint="eastAsia"/>
          <w:lang w:eastAsia="zh-CN"/>
        </w:rPr>
        <w:t>。</w:t>
      </w:r>
    </w:p>
    <w:p>
      <w:pPr>
        <w:pStyle w:val="4"/>
        <w:rPr>
          <w:rFonts w:hint="eastAsia" w:ascii="华文仿宋" w:hAnsi="华文仿宋" w:eastAsia="华文仿宋"/>
          <w:lang w:eastAsia="zh-CN"/>
        </w:rPr>
      </w:pPr>
      <w:bookmarkStart w:id="27" w:name="_Toc31496"/>
      <w:r>
        <w:rPr>
          <w:rFonts w:hint="eastAsia" w:ascii="华文仿宋" w:hAnsi="华文仿宋" w:eastAsia="华文仿宋"/>
          <w:lang w:val="en-US" w:eastAsia="zh-CN"/>
        </w:rPr>
        <w:t>3.3.3</w:t>
      </w:r>
      <w:r>
        <w:rPr>
          <w:rFonts w:hint="eastAsia" w:ascii="华文仿宋" w:hAnsi="华文仿宋" w:eastAsia="华文仿宋"/>
          <w:lang w:eastAsia="zh-CN"/>
        </w:rPr>
        <w:t>面向个人投资者的产品募集资金占80%</w:t>
      </w:r>
      <w:bookmarkEnd w:id="27"/>
    </w:p>
    <w:p>
      <w:r>
        <w:rPr>
          <w:rFonts w:hint="eastAsia" w:ascii="华文仿宋" w:hAnsi="华文仿宋"/>
          <w:bCs/>
          <w:sz w:val="22"/>
        </w:rPr>
        <w:t>图表</w:t>
      </w:r>
      <w:r>
        <w:rPr>
          <w:rFonts w:hint="eastAsia" w:ascii="华文仿宋" w:hAnsi="华文仿宋"/>
          <w:bCs/>
          <w:sz w:val="22"/>
          <w:lang w:val="en-US" w:eastAsia="zh-CN"/>
        </w:rPr>
        <w:t>20：不同产品类型发行及存续情况</w:t>
      </w:r>
    </w:p>
    <w:p>
      <w:r>
        <w:drawing>
          <wp:inline distT="0" distB="0" distL="114300" distR="114300">
            <wp:extent cx="4333875" cy="1800225"/>
            <wp:effectExtent l="0" t="0" r="9525" b="9525"/>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29"/>
                    <a:stretch>
                      <a:fillRect/>
                    </a:stretch>
                  </pic:blipFill>
                  <pic:spPr>
                    <a:xfrm>
                      <a:off x="0" y="0"/>
                      <a:ext cx="4333875" cy="1800225"/>
                    </a:xfrm>
                    <a:prstGeom prst="rect">
                      <a:avLst/>
                    </a:prstGeom>
                    <a:noFill/>
                    <a:ln>
                      <a:noFill/>
                    </a:ln>
                  </pic:spPr>
                </pic:pic>
              </a:graphicData>
            </a:graphic>
          </wp:inline>
        </w:drawing>
      </w:r>
    </w:p>
    <w:p>
      <w:pPr>
        <w:pStyle w:val="4"/>
        <w:rPr>
          <w:rFonts w:hint="eastAsia" w:ascii="华文仿宋" w:hAnsi="华文仿宋" w:eastAsia="华文仿宋"/>
          <w:lang w:eastAsia="zh-CN"/>
        </w:rPr>
      </w:pPr>
      <w:bookmarkStart w:id="28" w:name="_Toc30096"/>
      <w:r>
        <w:rPr>
          <w:rFonts w:hint="eastAsia" w:ascii="华文仿宋" w:hAnsi="华文仿宋" w:eastAsia="华文仿宋"/>
          <w:lang w:val="en-US" w:eastAsia="zh-CN"/>
        </w:rPr>
        <w:t>3.3.4</w:t>
      </w:r>
      <w:r>
        <w:rPr>
          <w:rFonts w:hint="eastAsia" w:ascii="华文仿宋" w:hAnsi="华文仿宋" w:eastAsia="华文仿宋"/>
          <w:lang w:eastAsia="zh-CN"/>
        </w:rPr>
        <w:t>新发行理财产品以中低风险产品为主</w:t>
      </w:r>
      <w:bookmarkEnd w:id="28"/>
    </w:p>
    <w:p>
      <w:r>
        <w:rPr>
          <w:rFonts w:hint="eastAsia" w:ascii="华文仿宋" w:hAnsi="华文仿宋"/>
          <w:bCs/>
          <w:sz w:val="22"/>
        </w:rPr>
        <w:t>图表</w:t>
      </w:r>
      <w:r>
        <w:rPr>
          <w:rFonts w:hint="eastAsia" w:ascii="华文仿宋" w:hAnsi="华文仿宋"/>
          <w:bCs/>
          <w:sz w:val="22"/>
          <w:lang w:val="en-US" w:eastAsia="zh-CN"/>
        </w:rPr>
        <w:t>21：不同风险等级产品发行规模占比情况</w:t>
      </w:r>
    </w:p>
    <w:p>
      <w:r>
        <w:drawing>
          <wp:inline distT="0" distB="0" distL="114300" distR="114300">
            <wp:extent cx="4562475" cy="1733550"/>
            <wp:effectExtent l="0" t="0" r="9525"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30"/>
                    <a:stretch>
                      <a:fillRect/>
                    </a:stretch>
                  </pic:blipFill>
                  <pic:spPr>
                    <a:xfrm>
                      <a:off x="0" y="0"/>
                      <a:ext cx="4562475" cy="1733550"/>
                    </a:xfrm>
                    <a:prstGeom prst="rect">
                      <a:avLst/>
                    </a:prstGeom>
                    <a:noFill/>
                    <a:ln>
                      <a:noFill/>
                    </a:ln>
                  </pic:spPr>
                </pic:pic>
              </a:graphicData>
            </a:graphic>
          </wp:inline>
        </w:drawing>
      </w:r>
    </w:p>
    <w:p/>
    <w:p>
      <w:pPr>
        <w:pStyle w:val="3"/>
        <w:rPr>
          <w:rFonts w:hint="eastAsia" w:ascii="华文仿宋" w:hAnsi="华文仿宋" w:eastAsia="华文仿宋"/>
          <w:bCs/>
          <w:lang w:eastAsia="zh-CN"/>
        </w:rPr>
      </w:pPr>
      <w:bookmarkStart w:id="29" w:name="_Toc8737"/>
      <w:r>
        <w:rPr>
          <w:rFonts w:hint="eastAsia" w:ascii="华文仿宋" w:hAnsi="华文仿宋" w:eastAsia="华文仿宋"/>
          <w:lang w:val="en-US" w:eastAsia="zh-CN"/>
        </w:rPr>
        <w:t>3.4</w:t>
      </w:r>
      <w:r>
        <w:rPr>
          <w:rFonts w:hint="eastAsia" w:ascii="华文仿宋" w:hAnsi="华文仿宋" w:eastAsia="华文仿宋"/>
          <w:lang w:eastAsia="zh-CN"/>
        </w:rPr>
        <w:t>银行理财发展方向—理财子公司</w:t>
      </w:r>
      <w:bookmarkEnd w:id="29"/>
    </w:p>
    <w:p>
      <w:pPr>
        <w:ind w:firstLine="480" w:firstLineChars="200"/>
        <w:rPr>
          <w:rFonts w:hint="eastAsia" w:eastAsia="华文仿宋"/>
          <w:lang w:eastAsia="zh-CN"/>
        </w:rPr>
      </w:pPr>
      <w:r>
        <w:rPr>
          <w:rFonts w:hint="eastAsia"/>
        </w:rPr>
        <w:t>根据理财子公司管理规定，银行理财子公司的定位是从事理财业务的非行金融机构，由国内的商业银行控股设立。公司的运行及各类业务主要依照《关于规范金融机构资产管理业务的指导意见》</w:t>
      </w:r>
      <w:r>
        <w:rPr>
          <w:rFonts w:hint="eastAsia"/>
          <w:lang w:eastAsia="zh-CN"/>
        </w:rPr>
        <w:t>、</w:t>
      </w:r>
      <w:r>
        <w:rPr>
          <w:rFonts w:hint="eastAsia"/>
        </w:rPr>
        <w:t>《商业银行理财业务监督管办法》以及《商业银行理财子公司管办法》等三个文件的要求进行</w:t>
      </w:r>
      <w:r>
        <w:rPr>
          <w:rFonts w:hint="eastAsia"/>
          <w:lang w:eastAsia="zh-CN"/>
        </w:rPr>
        <w:t>。</w:t>
      </w:r>
    </w:p>
    <w:p>
      <w:pPr>
        <w:ind w:firstLine="480" w:firstLineChars="200"/>
        <w:rPr>
          <w:rFonts w:hint="eastAsia"/>
          <w:lang w:eastAsia="zh-CN"/>
        </w:rPr>
      </w:pPr>
      <w:r>
        <w:rPr>
          <w:rFonts w:hint="eastAsia"/>
        </w:rPr>
        <w:t>相比于银行理财产品，理财子公司的多项业务规定均有所放宽。例如，产品类型方面可发行分级理财产品；投资范围方面，对非标投资的比例不限制“本行上一年度审批报告披露总资产的4%”，同时放开公募银行理财投资股票市场的限制，对于投资理财产品的规定也更为宽松，可在一定比例范围内投资于其他机构发行的资管产品</w:t>
      </w:r>
      <w:r>
        <w:rPr>
          <w:rFonts w:hint="eastAsia"/>
          <w:lang w:eastAsia="zh-CN"/>
        </w:rPr>
        <w:t>。</w:t>
      </w:r>
    </w:p>
    <w:p>
      <w:pPr>
        <w:rPr>
          <w:rFonts w:hint="eastAsia"/>
          <w:lang w:eastAsia="zh-CN"/>
        </w:rPr>
      </w:pPr>
      <w:r>
        <w:rPr>
          <w:rFonts w:hint="eastAsia" w:ascii="华文仿宋" w:hAnsi="华文仿宋"/>
          <w:bCs/>
          <w:sz w:val="22"/>
        </w:rPr>
        <w:t>图表</w:t>
      </w:r>
      <w:r>
        <w:rPr>
          <w:rFonts w:hint="eastAsia" w:ascii="华文仿宋" w:hAnsi="华文仿宋"/>
          <w:bCs/>
          <w:sz w:val="22"/>
          <w:lang w:val="en-US" w:eastAsia="zh-CN"/>
        </w:rPr>
        <w:t>22：理财子公司管理办法主要内容</w:t>
      </w:r>
    </w:p>
    <w:p>
      <w:r>
        <w:drawing>
          <wp:inline distT="0" distB="0" distL="114300" distR="114300">
            <wp:extent cx="5267960" cy="4050030"/>
            <wp:effectExtent l="0" t="0" r="8890" b="7620"/>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31"/>
                    <a:stretch>
                      <a:fillRect/>
                    </a:stretch>
                  </pic:blipFill>
                  <pic:spPr>
                    <a:xfrm>
                      <a:off x="0" y="0"/>
                      <a:ext cx="5267960" cy="4050030"/>
                    </a:xfrm>
                    <a:prstGeom prst="rect">
                      <a:avLst/>
                    </a:prstGeom>
                    <a:noFill/>
                    <a:ln>
                      <a:noFill/>
                    </a:ln>
                  </pic:spPr>
                </pic:pic>
              </a:graphicData>
            </a:graphic>
          </wp:inline>
        </w:drawing>
      </w:r>
    </w:p>
    <w:p/>
    <w:p>
      <w:pPr>
        <w:pStyle w:val="3"/>
        <w:rPr>
          <w:rFonts w:hint="eastAsia" w:ascii="华文仿宋" w:hAnsi="华文仿宋" w:eastAsia="华文仿宋"/>
          <w:bCs/>
          <w:lang w:eastAsia="zh-CN"/>
        </w:rPr>
      </w:pPr>
      <w:bookmarkStart w:id="30" w:name="_Toc21283"/>
      <w:r>
        <w:rPr>
          <w:rFonts w:hint="eastAsia" w:ascii="华文仿宋" w:hAnsi="华文仿宋" w:eastAsia="华文仿宋"/>
          <w:lang w:val="en-US" w:eastAsia="zh-CN"/>
        </w:rPr>
        <w:t>3.5</w:t>
      </w:r>
      <w:r>
        <w:rPr>
          <w:rFonts w:hint="eastAsia" w:ascii="华文仿宋" w:hAnsi="华文仿宋" w:eastAsia="华文仿宋"/>
          <w:lang w:eastAsia="zh-CN"/>
        </w:rPr>
        <w:t>银行理财子公司的设立情况</w:t>
      </w:r>
      <w:bookmarkEnd w:id="30"/>
    </w:p>
    <w:p>
      <w:pPr>
        <w:ind w:firstLine="480" w:firstLineChars="200"/>
        <w:rPr>
          <w:rFonts w:hint="eastAsia" w:eastAsia="华文仿宋"/>
          <w:lang w:eastAsia="zh-CN"/>
        </w:rPr>
      </w:pPr>
      <w:r>
        <w:rPr>
          <w:rFonts w:hint="eastAsia"/>
        </w:rPr>
        <w:t>目前，五大行的理财子公司均已正式开业，另有7家银行获批筹建。此外，还有21家银行发布了拟设立银行理财子公司的公告。根据测算，已开业、已获批筹建、已发布拟设立银行理财子公司公告的33家银行，在2018年底的非保本理财规模共计19万亿，占全市场总规模的比例达到86%</w:t>
      </w:r>
      <w:r>
        <w:rPr>
          <w:rFonts w:hint="eastAsia"/>
          <w:lang w:eastAsia="zh-CN"/>
        </w:rPr>
        <w:t>。</w:t>
      </w:r>
    </w:p>
    <w:p>
      <w:pPr>
        <w:ind w:firstLine="480" w:firstLineChars="200"/>
        <w:rPr>
          <w:rFonts w:hint="eastAsia" w:eastAsia="华文仿宋"/>
          <w:lang w:eastAsia="zh-CN"/>
        </w:rPr>
      </w:pPr>
      <w:r>
        <w:rPr>
          <w:rFonts w:hint="eastAsia"/>
        </w:rPr>
        <w:t>理财子公司作为独立法人主体开展业务，有利于将银行理财业务与经营业务安全隔离，达到破刚兑的要求。银行理财将逐步回归资管业务“受人之托，代客理财”的本源，客户尽享投资的风险和收益</w:t>
      </w:r>
      <w:r>
        <w:rPr>
          <w:rFonts w:hint="eastAsia"/>
          <w:lang w:eastAsia="zh-CN"/>
        </w:rPr>
        <w:t>。</w:t>
      </w:r>
    </w:p>
    <w:p>
      <w:pPr>
        <w:ind w:firstLine="480" w:firstLineChars="200"/>
        <w:rPr>
          <w:rFonts w:hint="eastAsia"/>
          <w:lang w:eastAsia="zh-CN"/>
        </w:rPr>
      </w:pPr>
      <w:r>
        <w:rPr>
          <w:rFonts w:hint="eastAsia"/>
        </w:rPr>
        <w:t>理财子公司的投资政策监管更灵活，不再限制直接进行股票投资，有利于实现净值化管理，推动理财业务发展转型。但由于银行在类固收投资方面具有天然的优势和丰富经验，同时国内银行理财产品客户以个人投资者居多、风险偏好较低，目前各大银行或理财子公司推出的净值型理财产品仍以固定收益类和混合类产品为主</w:t>
      </w:r>
      <w:r>
        <w:rPr>
          <w:rFonts w:hint="eastAsia"/>
          <w:lang w:eastAsia="zh-CN"/>
        </w:rPr>
        <w:t>。</w:t>
      </w:r>
    </w:p>
    <w:p>
      <w:pPr>
        <w:rPr>
          <w:rFonts w:hint="eastAsia"/>
          <w:lang w:eastAsia="zh-CN"/>
        </w:rPr>
      </w:pPr>
      <w:r>
        <w:rPr>
          <w:rFonts w:hint="eastAsia" w:ascii="华文仿宋" w:hAnsi="华文仿宋"/>
          <w:bCs/>
          <w:sz w:val="22"/>
        </w:rPr>
        <w:t>图表</w:t>
      </w:r>
      <w:r>
        <w:rPr>
          <w:rFonts w:hint="eastAsia" w:ascii="华文仿宋" w:hAnsi="华文仿宋"/>
          <w:bCs/>
          <w:sz w:val="22"/>
          <w:lang w:val="en-US" w:eastAsia="zh-CN"/>
        </w:rPr>
        <w:t>23：理财子公司设立情况</w:t>
      </w:r>
    </w:p>
    <w:p>
      <w:r>
        <w:drawing>
          <wp:inline distT="0" distB="0" distL="114300" distR="114300">
            <wp:extent cx="5269865" cy="4327525"/>
            <wp:effectExtent l="0" t="0" r="6985" b="15875"/>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32"/>
                    <a:stretch>
                      <a:fillRect/>
                    </a:stretch>
                  </pic:blipFill>
                  <pic:spPr>
                    <a:xfrm>
                      <a:off x="0" y="0"/>
                      <a:ext cx="5269865" cy="4327525"/>
                    </a:xfrm>
                    <a:prstGeom prst="rect">
                      <a:avLst/>
                    </a:prstGeom>
                    <a:noFill/>
                    <a:ln>
                      <a:noFill/>
                    </a:ln>
                  </pic:spPr>
                </pic:pic>
              </a:graphicData>
            </a:graphic>
          </wp:inline>
        </w:drawing>
      </w:r>
    </w:p>
    <w:p/>
    <w:p>
      <w:pPr>
        <w:pStyle w:val="3"/>
        <w:rPr>
          <w:rFonts w:hint="eastAsia" w:ascii="华文仿宋" w:hAnsi="华文仿宋" w:eastAsia="华文仿宋"/>
          <w:bCs/>
          <w:lang w:eastAsia="zh-CN"/>
        </w:rPr>
      </w:pPr>
      <w:bookmarkStart w:id="31" w:name="_Toc14959"/>
      <w:r>
        <w:rPr>
          <w:rFonts w:hint="eastAsia" w:ascii="华文仿宋" w:hAnsi="华文仿宋" w:eastAsia="华文仿宋"/>
          <w:lang w:val="en-US" w:eastAsia="zh-CN"/>
        </w:rPr>
        <w:t>3.6</w:t>
      </w:r>
      <w:r>
        <w:rPr>
          <w:rFonts w:hint="eastAsia" w:ascii="华文仿宋" w:hAnsi="华文仿宋" w:eastAsia="华文仿宋"/>
          <w:lang w:eastAsia="zh-CN"/>
        </w:rPr>
        <w:t>银行理财市场展望—将长期处于资管行业主导地位</w:t>
      </w:r>
      <w:bookmarkEnd w:id="31"/>
    </w:p>
    <w:p>
      <w:pPr>
        <w:numPr>
          <w:ilvl w:val="0"/>
          <w:numId w:val="0"/>
        </w:numPr>
        <w:ind w:firstLine="480" w:firstLineChars="200"/>
        <w:rPr>
          <w:rFonts w:hint="eastAsia"/>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rPr>
        <w:t>银行理财认可度高、影响力大。</w:t>
      </w:r>
      <w:r>
        <w:rPr>
          <w:rFonts w:hint="eastAsia"/>
        </w:rPr>
        <w:t>银行理财产生于商业银行，整体风格稳健，居民和客户对银行理财信任度高，银行理财的社会接受度广，日益具备“系统重要性”特征</w:t>
      </w:r>
      <w:r>
        <w:rPr>
          <w:rFonts w:hint="eastAsia"/>
          <w:lang w:val="en-US" w:eastAsia="zh-CN"/>
        </w:rPr>
        <w:t>.</w:t>
      </w:r>
    </w:p>
    <w:p>
      <w:pPr>
        <w:numPr>
          <w:ilvl w:val="0"/>
          <w:numId w:val="0"/>
        </w:numPr>
        <w:ind w:firstLine="480" w:firstLineChars="200"/>
        <w:rPr>
          <w:rFonts w:hint="eastAsia"/>
          <w:lang w:val="en-US" w:eastAsia="zh-CN"/>
        </w:rPr>
      </w:pPr>
      <w:r>
        <w:rPr>
          <w:rFonts w:hint="eastAsia"/>
          <w:b/>
          <w:bCs/>
          <w:lang w:val="en-US" w:eastAsia="zh-CN"/>
        </w:rPr>
        <w:t>（2）居民财富增长有利于扩大理财市场规模。</w:t>
      </w:r>
      <w:r>
        <w:rPr>
          <w:rFonts w:hint="eastAsia"/>
          <w:lang w:val="en-US" w:eastAsia="zh-CN"/>
        </w:rPr>
        <w:t>经过前期的高速发展，我国已稳居世界第二大经济体地位，2018年我国人均GDP接近1万美元，居民财富持续增长。同时，随着居民理财意识增强，客户配置需求更加强劲，将进一步扩大理财市场规模。</w:t>
      </w:r>
    </w:p>
    <w:p>
      <w:pPr>
        <w:numPr>
          <w:ilvl w:val="0"/>
          <w:numId w:val="0"/>
        </w:numPr>
        <w:ind w:firstLine="480" w:firstLineChars="200"/>
        <w:rPr>
          <w:rFonts w:hint="default"/>
          <w:lang w:val="en-US" w:eastAsia="zh-CN"/>
        </w:rPr>
      </w:pPr>
      <w:r>
        <w:rPr>
          <w:rFonts w:hint="eastAsia"/>
          <w:b/>
          <w:bCs/>
          <w:lang w:val="en-US" w:eastAsia="zh-CN"/>
        </w:rPr>
        <w:t>（3）机构客户投资需求提升，扩大理财市场资金来源。</w:t>
      </w:r>
      <w:r>
        <w:rPr>
          <w:rFonts w:hint="eastAsia"/>
          <w:lang w:val="en-US" w:eastAsia="zh-CN"/>
        </w:rPr>
        <w:t>随着人口老龄化进程不断深入，居民对于养老的需求不断提升，带动养老金、企业年金等规模增长，推动机构客户增加。机构客户的资金具有稳定性、长期性，其投资需求的增长有利于为理财市场提供持续稳定的资金来源</w:t>
      </w:r>
    </w:p>
    <w:p>
      <w:pPr>
        <w:ind w:firstLine="480" w:firstLineChars="200"/>
        <w:rPr>
          <w:rFonts w:hint="eastAsia"/>
          <w:lang w:val="en-US" w:eastAsia="zh-CN"/>
        </w:rPr>
      </w:pPr>
      <w:r>
        <w:rPr>
          <w:rFonts w:hint="eastAsia"/>
          <w:b/>
          <w:bCs/>
          <w:lang w:eastAsia="zh-CN"/>
        </w:rPr>
        <w:t>（</w:t>
      </w:r>
      <w:r>
        <w:rPr>
          <w:rFonts w:hint="eastAsia"/>
          <w:b/>
          <w:bCs/>
          <w:lang w:val="en-US" w:eastAsia="zh-CN"/>
        </w:rPr>
        <w:t>4</w:t>
      </w:r>
      <w:r>
        <w:rPr>
          <w:rFonts w:hint="eastAsia"/>
          <w:b/>
          <w:bCs/>
          <w:lang w:eastAsia="zh-CN"/>
        </w:rPr>
        <w:t>）</w:t>
      </w:r>
      <w:r>
        <w:rPr>
          <w:rFonts w:hint="eastAsia"/>
          <w:b/>
          <w:bCs/>
        </w:rPr>
        <w:t>金融双向开放环境下，理财市场将吸引更多境外增量资金进入中国。</w:t>
      </w:r>
      <w:r>
        <w:rPr>
          <w:rFonts w:hint="eastAsia"/>
        </w:rPr>
        <w:t>通过与中资银行合作进入理财市场，境外资金可有效克服“水土不服”现象，降低投资风险，从而在控制风险的前提下分享中国资本市场发展的红利。同时，境外资金进入理财市场，有利于引进国际成熟的投资理念和经营策略，可进一步丰富理财产品供给，提升机构投资者占比，扩宽投资范围</w:t>
      </w:r>
      <w:r>
        <w:rPr>
          <w:rFonts w:hint="eastAsia"/>
          <w:lang w:val="en-US" w:eastAsia="zh-CN"/>
        </w:rPr>
        <w:t>.</w:t>
      </w:r>
    </w:p>
    <w:p>
      <w:pPr>
        <w:ind w:firstLine="480" w:firstLineChars="200"/>
        <w:rPr>
          <w:rFonts w:hint="eastAsia"/>
          <w:lang w:val="en-US" w:eastAsia="zh-CN"/>
        </w:rPr>
      </w:pPr>
      <w:r>
        <w:rPr>
          <w:rFonts w:hint="eastAsia"/>
          <w:b/>
          <w:bCs/>
          <w:lang w:val="en-US" w:eastAsia="zh-CN"/>
        </w:rPr>
        <w:t>（5）金融改革推动直接融资市场发展，理财市场是连接财富管理与资本市场的重要桥梁纽带。</w:t>
      </w:r>
      <w:r>
        <w:rPr>
          <w:rFonts w:hint="eastAsia"/>
          <w:lang w:val="en-US" w:eastAsia="zh-CN"/>
        </w:rPr>
        <w:t>目前，我国理财市场主要连接个体居民财富与固收类产品，下一步应拓展至连接更多类型的投资者和金融工具。资管新规、理财新规和理财子公司管理办法明确了理财业务可直接投资于股票市场，在金融改革推动直接融资市场加快发展的背景下，理财市场将进一步发挥财富管理与资本市场之间的桥梁纽带作用。</w:t>
      </w:r>
    </w:p>
    <w:p>
      <w:pPr>
        <w:pStyle w:val="2"/>
        <w:ind w:left="142"/>
        <w:rPr>
          <w:rFonts w:hint="eastAsia" w:ascii="华文仿宋" w:hAnsi="华文仿宋" w:eastAsia="华文仿宋"/>
          <w:lang w:eastAsia="zh-CN"/>
        </w:rPr>
      </w:pPr>
      <w:bookmarkStart w:id="32" w:name="_Toc31302"/>
      <w:r>
        <w:rPr>
          <w:rFonts w:hint="eastAsia" w:ascii="华文仿宋" w:hAnsi="华文仿宋" w:eastAsia="华文仿宋"/>
          <w:lang w:val="en-US" w:eastAsia="zh-CN"/>
        </w:rPr>
        <w:t>四</w:t>
      </w:r>
      <w:r>
        <w:rPr>
          <w:rFonts w:hint="eastAsia" w:ascii="华文仿宋" w:hAnsi="华文仿宋" w:eastAsia="华文仿宋"/>
        </w:rPr>
        <w:t>、</w:t>
      </w:r>
      <w:r>
        <w:rPr>
          <w:rFonts w:hint="eastAsia" w:ascii="华文仿宋" w:hAnsi="华文仿宋" w:eastAsia="华文仿宋"/>
          <w:lang w:eastAsia="zh-CN"/>
        </w:rPr>
        <w:t>中银理财的探索和实践</w:t>
      </w:r>
      <w:bookmarkEnd w:id="32"/>
    </w:p>
    <w:p>
      <w:pPr>
        <w:pStyle w:val="3"/>
        <w:rPr>
          <w:rFonts w:hint="eastAsia" w:ascii="华文仿宋" w:hAnsi="华文仿宋" w:eastAsia="华文仿宋"/>
          <w:bCs/>
          <w:lang w:eastAsia="zh-CN"/>
        </w:rPr>
      </w:pPr>
      <w:bookmarkStart w:id="33" w:name="_Toc27519"/>
      <w:r>
        <w:rPr>
          <w:rFonts w:hint="eastAsia" w:ascii="华文仿宋" w:hAnsi="华文仿宋" w:eastAsia="华文仿宋"/>
          <w:lang w:val="en-US" w:eastAsia="zh-CN"/>
        </w:rPr>
        <w:t>4.1</w:t>
      </w:r>
      <w:r>
        <w:rPr>
          <w:rFonts w:hint="eastAsia" w:ascii="华文仿宋" w:hAnsi="华文仿宋" w:eastAsia="华文仿宋"/>
          <w:lang w:eastAsia="zh-CN"/>
        </w:rPr>
        <w:t>中银理财的成长历程</w:t>
      </w:r>
      <w:bookmarkEnd w:id="33"/>
    </w:p>
    <w:p>
      <w:pPr>
        <w:rPr>
          <w:rFonts w:hint="eastAsia"/>
          <w:lang w:val="en-US" w:eastAsia="zh-CN"/>
        </w:rPr>
      </w:pPr>
      <w:r>
        <w:drawing>
          <wp:inline distT="0" distB="0" distL="114300" distR="114300">
            <wp:extent cx="5271770" cy="1860550"/>
            <wp:effectExtent l="0" t="0" r="5080" b="6350"/>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33"/>
                    <a:stretch>
                      <a:fillRect/>
                    </a:stretch>
                  </pic:blipFill>
                  <pic:spPr>
                    <a:xfrm>
                      <a:off x="0" y="0"/>
                      <a:ext cx="5271770" cy="1860550"/>
                    </a:xfrm>
                    <a:prstGeom prst="rect">
                      <a:avLst/>
                    </a:prstGeom>
                    <a:noFill/>
                    <a:ln>
                      <a:noFill/>
                    </a:ln>
                  </pic:spPr>
                </pic:pic>
              </a:graphicData>
            </a:graphic>
          </wp:inline>
        </w:drawing>
      </w:r>
    </w:p>
    <w:p>
      <w:pPr>
        <w:pStyle w:val="3"/>
        <w:rPr>
          <w:rFonts w:hint="eastAsia" w:ascii="华文仿宋" w:hAnsi="华文仿宋" w:eastAsia="华文仿宋"/>
          <w:bCs/>
          <w:lang w:eastAsia="zh-CN"/>
        </w:rPr>
      </w:pPr>
      <w:bookmarkStart w:id="34" w:name="_Toc4045"/>
      <w:r>
        <w:rPr>
          <w:rFonts w:hint="eastAsia" w:ascii="华文仿宋" w:hAnsi="华文仿宋" w:eastAsia="华文仿宋"/>
          <w:lang w:val="en-US" w:eastAsia="zh-CN"/>
        </w:rPr>
        <w:t>4.2</w:t>
      </w:r>
      <w:r>
        <w:rPr>
          <w:rFonts w:hint="eastAsia" w:ascii="华文仿宋" w:hAnsi="华文仿宋" w:eastAsia="华文仿宋"/>
          <w:lang w:eastAsia="zh-CN"/>
        </w:rPr>
        <w:t>中国银行资管业务的集团协同</w:t>
      </w:r>
      <w:bookmarkEnd w:id="34"/>
    </w:p>
    <w:p>
      <w:r>
        <w:drawing>
          <wp:inline distT="0" distB="0" distL="114300" distR="114300">
            <wp:extent cx="5268595" cy="2258060"/>
            <wp:effectExtent l="0" t="0" r="8255" b="8890"/>
            <wp:docPr id="4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3"/>
                    <pic:cNvPicPr>
                      <a:picLocks noChangeAspect="1"/>
                    </pic:cNvPicPr>
                  </pic:nvPicPr>
                  <pic:blipFill>
                    <a:blip r:embed="rId34"/>
                    <a:stretch>
                      <a:fillRect/>
                    </a:stretch>
                  </pic:blipFill>
                  <pic:spPr>
                    <a:xfrm>
                      <a:off x="0" y="0"/>
                      <a:ext cx="5268595" cy="2258060"/>
                    </a:xfrm>
                    <a:prstGeom prst="rect">
                      <a:avLst/>
                    </a:prstGeom>
                    <a:noFill/>
                    <a:ln>
                      <a:noFill/>
                    </a:ln>
                  </pic:spPr>
                </pic:pic>
              </a:graphicData>
            </a:graphic>
          </wp:inline>
        </w:drawing>
      </w:r>
    </w:p>
    <w:p>
      <w:pPr>
        <w:pStyle w:val="3"/>
        <w:rPr>
          <w:rFonts w:hint="eastAsia" w:ascii="华文仿宋" w:hAnsi="华文仿宋" w:eastAsia="华文仿宋"/>
          <w:bCs/>
          <w:lang w:eastAsia="zh-CN"/>
        </w:rPr>
      </w:pPr>
      <w:bookmarkStart w:id="35" w:name="_Toc23653"/>
      <w:r>
        <w:rPr>
          <w:rFonts w:hint="eastAsia" w:ascii="华文仿宋" w:hAnsi="华文仿宋" w:eastAsia="华文仿宋"/>
          <w:lang w:val="en-US" w:eastAsia="zh-CN"/>
        </w:rPr>
        <w:t>4.3</w:t>
      </w:r>
      <w:r>
        <w:rPr>
          <w:rFonts w:hint="eastAsia" w:ascii="华文仿宋" w:hAnsi="华文仿宋" w:eastAsia="华文仿宋"/>
          <w:lang w:eastAsia="zh-CN"/>
        </w:rPr>
        <w:t>中银理财的特点</w:t>
      </w:r>
      <w:bookmarkEnd w:id="35"/>
    </w:p>
    <w:p>
      <w:pPr>
        <w:pStyle w:val="4"/>
        <w:rPr>
          <w:rFonts w:hint="eastAsia" w:ascii="华文仿宋" w:hAnsi="华文仿宋" w:eastAsia="华文仿宋"/>
          <w:lang w:eastAsia="zh-CN"/>
        </w:rPr>
      </w:pPr>
      <w:bookmarkStart w:id="36" w:name="_Toc9667"/>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1全方位资产覆盖</w:t>
      </w:r>
      <w:bookmarkEnd w:id="36"/>
    </w:p>
    <w:p>
      <w:r>
        <w:drawing>
          <wp:inline distT="0" distB="0" distL="114300" distR="114300">
            <wp:extent cx="5269865" cy="2385060"/>
            <wp:effectExtent l="0" t="0" r="6985" b="15240"/>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35"/>
                    <a:stretch>
                      <a:fillRect/>
                    </a:stretch>
                  </pic:blipFill>
                  <pic:spPr>
                    <a:xfrm>
                      <a:off x="0" y="0"/>
                      <a:ext cx="5269865" cy="2385060"/>
                    </a:xfrm>
                    <a:prstGeom prst="rect">
                      <a:avLst/>
                    </a:prstGeom>
                    <a:noFill/>
                    <a:ln>
                      <a:noFill/>
                    </a:ln>
                  </pic:spPr>
                </pic:pic>
              </a:graphicData>
            </a:graphic>
          </wp:inline>
        </w:drawing>
      </w:r>
    </w:p>
    <w:p>
      <w:pPr>
        <w:pStyle w:val="4"/>
        <w:rPr>
          <w:rFonts w:hint="eastAsia" w:ascii="华文仿宋" w:hAnsi="华文仿宋" w:eastAsia="华文仿宋"/>
          <w:lang w:eastAsia="zh-CN"/>
        </w:rPr>
      </w:pPr>
      <w:bookmarkStart w:id="37" w:name="_Toc26918"/>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2领先的跨境服务</w:t>
      </w:r>
      <w:bookmarkEnd w:id="37"/>
    </w:p>
    <w:p>
      <w:r>
        <w:drawing>
          <wp:inline distT="0" distB="0" distL="114300" distR="114300">
            <wp:extent cx="5269230" cy="2247265"/>
            <wp:effectExtent l="0" t="0" r="7620" b="635"/>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36"/>
                    <a:stretch>
                      <a:fillRect/>
                    </a:stretch>
                  </pic:blipFill>
                  <pic:spPr>
                    <a:xfrm>
                      <a:off x="0" y="0"/>
                      <a:ext cx="5269230" cy="2247265"/>
                    </a:xfrm>
                    <a:prstGeom prst="rect">
                      <a:avLst/>
                    </a:prstGeom>
                    <a:noFill/>
                    <a:ln>
                      <a:noFill/>
                    </a:ln>
                  </pic:spPr>
                </pic:pic>
              </a:graphicData>
            </a:graphic>
          </wp:inline>
        </w:drawing>
      </w:r>
    </w:p>
    <w:p>
      <w:pPr>
        <w:pStyle w:val="4"/>
        <w:rPr>
          <w:rFonts w:hint="eastAsia" w:ascii="华文仿宋" w:hAnsi="华文仿宋" w:eastAsia="华文仿宋"/>
          <w:lang w:eastAsia="zh-CN"/>
        </w:rPr>
      </w:pPr>
      <w:bookmarkStart w:id="38" w:name="_Toc31159"/>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3丰富的产品体系</w:t>
      </w:r>
      <w:bookmarkEnd w:id="38"/>
    </w:p>
    <w:p>
      <w:r>
        <w:drawing>
          <wp:inline distT="0" distB="0" distL="114300" distR="114300">
            <wp:extent cx="5271135" cy="2468245"/>
            <wp:effectExtent l="0" t="0" r="5715" b="8255"/>
            <wp:docPr id="4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6"/>
                    <pic:cNvPicPr>
                      <a:picLocks noChangeAspect="1"/>
                    </pic:cNvPicPr>
                  </pic:nvPicPr>
                  <pic:blipFill>
                    <a:blip r:embed="rId37"/>
                    <a:stretch>
                      <a:fillRect/>
                    </a:stretch>
                  </pic:blipFill>
                  <pic:spPr>
                    <a:xfrm>
                      <a:off x="0" y="0"/>
                      <a:ext cx="5271135" cy="2468245"/>
                    </a:xfrm>
                    <a:prstGeom prst="rect">
                      <a:avLst/>
                    </a:prstGeom>
                    <a:noFill/>
                    <a:ln>
                      <a:noFill/>
                    </a:ln>
                  </pic:spPr>
                </pic:pic>
              </a:graphicData>
            </a:graphic>
          </wp:inline>
        </w:drawing>
      </w:r>
    </w:p>
    <w:p/>
    <w:p>
      <w:pPr>
        <w:pStyle w:val="4"/>
        <w:rPr>
          <w:rFonts w:hint="eastAsia" w:ascii="华文仿宋" w:hAnsi="华文仿宋" w:eastAsia="华文仿宋"/>
          <w:lang w:eastAsia="zh-CN"/>
        </w:rPr>
      </w:pPr>
      <w:bookmarkStart w:id="39" w:name="_Toc19526"/>
      <w:r>
        <w:rPr>
          <w:rFonts w:hint="eastAsia" w:ascii="华文仿宋" w:hAnsi="华文仿宋" w:eastAsia="华文仿宋"/>
          <w:lang w:val="en-US" w:eastAsia="zh-CN"/>
        </w:rPr>
        <w:t>4</w:t>
      </w:r>
      <w:r>
        <w:rPr>
          <w:rFonts w:hint="eastAsia" w:ascii="华文仿宋" w:hAnsi="华文仿宋" w:eastAsia="华文仿宋"/>
        </w:rPr>
        <w:t>.</w:t>
      </w:r>
      <w:r>
        <w:rPr>
          <w:rFonts w:hint="eastAsia" w:ascii="华文仿宋" w:hAnsi="华文仿宋" w:eastAsia="华文仿宋"/>
          <w:lang w:val="en-US" w:eastAsia="zh-CN"/>
        </w:rPr>
        <w:t>3</w:t>
      </w:r>
      <w:r>
        <w:rPr>
          <w:rFonts w:hint="eastAsia" w:ascii="华文仿宋" w:hAnsi="华文仿宋" w:eastAsia="华文仿宋"/>
        </w:rPr>
        <w:t>.</w:t>
      </w:r>
      <w:r>
        <w:rPr>
          <w:rFonts w:hint="eastAsia" w:ascii="华文仿宋" w:hAnsi="华文仿宋" w:eastAsia="华文仿宋"/>
          <w:lang w:val="en-US" w:eastAsia="zh-CN"/>
        </w:rPr>
        <w:t>4科技引领转型</w:t>
      </w:r>
      <w:bookmarkEnd w:id="39"/>
    </w:p>
    <w:p>
      <w:r>
        <w:drawing>
          <wp:inline distT="0" distB="0" distL="114300" distR="114300">
            <wp:extent cx="5271135" cy="2405380"/>
            <wp:effectExtent l="0" t="0" r="5715" b="13970"/>
            <wp:docPr id="4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7"/>
                    <pic:cNvPicPr>
                      <a:picLocks noChangeAspect="1"/>
                    </pic:cNvPicPr>
                  </pic:nvPicPr>
                  <pic:blipFill>
                    <a:blip r:embed="rId38"/>
                    <a:stretch>
                      <a:fillRect/>
                    </a:stretch>
                  </pic:blipFill>
                  <pic:spPr>
                    <a:xfrm>
                      <a:off x="0" y="0"/>
                      <a:ext cx="5271135" cy="2405380"/>
                    </a:xfrm>
                    <a:prstGeom prst="rect">
                      <a:avLst/>
                    </a:prstGeom>
                    <a:noFill/>
                    <a:ln>
                      <a:noFill/>
                    </a:ln>
                  </pic:spPr>
                </pic:pic>
              </a:graphicData>
            </a:graphic>
          </wp:inline>
        </w:drawing>
      </w:r>
    </w:p>
    <w:p/>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华文宋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default" w:ascii="Times New Roman" w:hAnsi="Times New Roman" w:eastAsia="华文仿宋"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0"/>
                      <w:rPr>
                        <w:rFonts w:hint="default" w:ascii="Times New Roman" w:hAnsi="Times New Roman" w:eastAsia="华文仿宋" w:cs="Times New Roman"/>
                        <w:lang w:eastAsia="zh-CN"/>
                      </w:rPr>
                    </w:pPr>
                    <w:r>
                      <w:rPr>
                        <w:rFonts w:hint="default" w:ascii="Times New Roman" w:hAnsi="Times New Roman" w:cs="Times New Roman"/>
                        <w:lang w:eastAsia="zh-CN"/>
                      </w:rPr>
                      <w:fldChar w:fldCharType="begin"/>
                    </w:r>
                    <w:r>
                      <w:rPr>
                        <w:rFonts w:hint="default" w:ascii="Times New Roman" w:hAnsi="Times New Roman" w:cs="Times New Roman"/>
                        <w:lang w:eastAsia="zh-CN"/>
                      </w:rPr>
                      <w:instrText xml:space="preserve"> PAGE  \* MERGEFORMAT </w:instrText>
                    </w:r>
                    <w:r>
                      <w:rPr>
                        <w:rFonts w:hint="default" w:ascii="Times New Roman" w:hAnsi="Times New Roman" w:cs="Times New Roman"/>
                        <w:lang w:eastAsia="zh-CN"/>
                      </w:rPr>
                      <w:fldChar w:fldCharType="separate"/>
                    </w:r>
                    <w:r>
                      <w:rPr>
                        <w:rFonts w:hint="default" w:ascii="Times New Roman" w:hAnsi="Times New Roman" w:cs="Times New Roman"/>
                        <w:lang w:eastAsia="zh-CN"/>
                      </w:rPr>
                      <w:t>1</w:t>
                    </w:r>
                    <w:r>
                      <w:rPr>
                        <w:rFonts w:hint="default" w:ascii="Times New Roman" w:hAnsi="Times New Roman" w:cs="Times New Roman"/>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rPr>
        <w:rFonts w:ascii="楷体" w:hAnsi="楷体" w:eastAsia="楷体" w:cs="楷体"/>
        <w:b/>
        <w:bCs/>
        <w:color w:val="4472C4" w:themeColor="accent1"/>
        <w:sz w:val="21"/>
        <w:szCs w:val="32"/>
        <w14:textFill>
          <w14:solidFill>
            <w14:schemeClr w14:val="accent1"/>
          </w14:solidFill>
        </w14:textFill>
      </w:rPr>
    </w:pPr>
    <w:r>
      <w:rPr>
        <w:rFonts w:hint="eastAsia" w:ascii="楷体" w:hAnsi="楷体" w:eastAsia="楷体" w:cs="楷体"/>
        <w:b/>
        <w:bCs/>
        <w:color w:val="4472C4" w:themeColor="accent1"/>
        <w:sz w:val="21"/>
        <w:szCs w:val="32"/>
        <w14:textFill>
          <w14:solidFill>
            <w14:schemeClr w14:val="accent1"/>
          </w14:solidFill>
        </w14:textFill>
      </w:rPr>
      <w:t>资管行业变革下的财富管理新格局</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1AC693"/>
    <w:multiLevelType w:val="singleLevel"/>
    <w:tmpl w:val="461AC693"/>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8F"/>
    <w:rsid w:val="00027143"/>
    <w:rsid w:val="00035995"/>
    <w:rsid w:val="00065D4B"/>
    <w:rsid w:val="00083001"/>
    <w:rsid w:val="000F1595"/>
    <w:rsid w:val="000F5C46"/>
    <w:rsid w:val="0010514A"/>
    <w:rsid w:val="00115C37"/>
    <w:rsid w:val="001E2977"/>
    <w:rsid w:val="00233269"/>
    <w:rsid w:val="00366DCC"/>
    <w:rsid w:val="00386FD4"/>
    <w:rsid w:val="00391A08"/>
    <w:rsid w:val="004440B6"/>
    <w:rsid w:val="0049516C"/>
    <w:rsid w:val="004D4572"/>
    <w:rsid w:val="004F7A66"/>
    <w:rsid w:val="005D1CB8"/>
    <w:rsid w:val="00601DBF"/>
    <w:rsid w:val="0063667B"/>
    <w:rsid w:val="006654EE"/>
    <w:rsid w:val="00675F8F"/>
    <w:rsid w:val="006B066D"/>
    <w:rsid w:val="006D0C84"/>
    <w:rsid w:val="0073406C"/>
    <w:rsid w:val="00746BD2"/>
    <w:rsid w:val="00763542"/>
    <w:rsid w:val="007E66C1"/>
    <w:rsid w:val="008F3C1E"/>
    <w:rsid w:val="008F5CC0"/>
    <w:rsid w:val="00987E3C"/>
    <w:rsid w:val="009A1448"/>
    <w:rsid w:val="009A6DDC"/>
    <w:rsid w:val="009E6F43"/>
    <w:rsid w:val="009F160C"/>
    <w:rsid w:val="00A45227"/>
    <w:rsid w:val="00A5536D"/>
    <w:rsid w:val="00A81C18"/>
    <w:rsid w:val="00AA0C2F"/>
    <w:rsid w:val="00AC6344"/>
    <w:rsid w:val="00AE4C0C"/>
    <w:rsid w:val="00AF3E4A"/>
    <w:rsid w:val="00BC58B0"/>
    <w:rsid w:val="00C31ECE"/>
    <w:rsid w:val="00C35873"/>
    <w:rsid w:val="00C72FBE"/>
    <w:rsid w:val="00CA6689"/>
    <w:rsid w:val="00D45136"/>
    <w:rsid w:val="00D50CF5"/>
    <w:rsid w:val="00D77193"/>
    <w:rsid w:val="00E02D0E"/>
    <w:rsid w:val="00E366A9"/>
    <w:rsid w:val="00E50E15"/>
    <w:rsid w:val="00E51C68"/>
    <w:rsid w:val="00F20C79"/>
    <w:rsid w:val="00F53421"/>
    <w:rsid w:val="00FA0DA1"/>
    <w:rsid w:val="00FF2D89"/>
    <w:rsid w:val="05913286"/>
    <w:rsid w:val="08191AF0"/>
    <w:rsid w:val="0A7E3199"/>
    <w:rsid w:val="0D200003"/>
    <w:rsid w:val="19784305"/>
    <w:rsid w:val="30BD15BD"/>
    <w:rsid w:val="36160E55"/>
    <w:rsid w:val="36B0118F"/>
    <w:rsid w:val="37696DD3"/>
    <w:rsid w:val="37A305F0"/>
    <w:rsid w:val="47003CF8"/>
    <w:rsid w:val="7A3F4C70"/>
    <w:rsid w:val="7D4071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华文仿宋" w:asciiTheme="minorHAnsi" w:hAnsiTheme="minorHAnsi" w:cstheme="minorBidi"/>
      <w:kern w:val="2"/>
      <w:sz w:val="24"/>
      <w:szCs w:val="22"/>
      <w:lang w:val="en-US" w:eastAsia="zh-CN" w:bidi="ar-SA"/>
    </w:rPr>
  </w:style>
  <w:style w:type="paragraph" w:styleId="2">
    <w:name w:val="heading 1"/>
    <w:basedOn w:val="1"/>
    <w:next w:val="1"/>
    <w:link w:val="20"/>
    <w:qFormat/>
    <w:uiPriority w:val="9"/>
    <w:pPr>
      <w:keepNext/>
      <w:keepLines/>
      <w:spacing w:before="100" w:after="90" w:line="576" w:lineRule="auto"/>
      <w:outlineLvl w:val="0"/>
    </w:pPr>
    <w:rPr>
      <w:rFonts w:eastAsia="仿宋"/>
      <w:b/>
      <w:bCs/>
      <w:kern w:val="44"/>
      <w:sz w:val="30"/>
      <w:szCs w:val="44"/>
    </w:rPr>
  </w:style>
  <w:style w:type="paragraph" w:styleId="3">
    <w:name w:val="heading 2"/>
    <w:basedOn w:val="1"/>
    <w:next w:val="1"/>
    <w:link w:val="22"/>
    <w:unhideWhenUsed/>
    <w:qFormat/>
    <w:uiPriority w:val="9"/>
    <w:pPr>
      <w:keepNext/>
      <w:keepLines/>
      <w:spacing w:before="20" w:after="20" w:line="413" w:lineRule="auto"/>
      <w:outlineLvl w:val="1"/>
    </w:pPr>
    <w:rPr>
      <w:rFonts w:eastAsia="仿宋" w:asciiTheme="majorHAnsi" w:hAnsiTheme="majorHAnsi" w:cstheme="majorBidi"/>
      <w:b/>
      <w:bCs/>
      <w:sz w:val="28"/>
      <w:szCs w:val="32"/>
    </w:rPr>
  </w:style>
  <w:style w:type="paragraph" w:styleId="4">
    <w:name w:val="heading 3"/>
    <w:basedOn w:val="1"/>
    <w:next w:val="1"/>
    <w:link w:val="27"/>
    <w:unhideWhenUsed/>
    <w:qFormat/>
    <w:uiPriority w:val="9"/>
    <w:pPr>
      <w:keepNext/>
      <w:keepLines/>
      <w:spacing w:before="260" w:after="260" w:line="413" w:lineRule="auto"/>
      <w:outlineLvl w:val="2"/>
    </w:pPr>
    <w:rPr>
      <w:rFonts w:eastAsia="仿宋"/>
      <w:b/>
      <w:bCs/>
      <w:szCs w:val="32"/>
    </w:rPr>
  </w:style>
  <w:style w:type="paragraph" w:styleId="5">
    <w:name w:val="heading 4"/>
    <w:basedOn w:val="1"/>
    <w:next w:val="1"/>
    <w:link w:val="28"/>
    <w:unhideWhenUsed/>
    <w:qFormat/>
    <w:uiPriority w:val="9"/>
    <w:pPr>
      <w:keepNext/>
      <w:keepLines/>
      <w:outlineLvl w:val="3"/>
    </w:pPr>
    <w:rPr>
      <w:rFonts w:asciiTheme="majorHAnsi" w:hAnsiTheme="majorHAnsi" w:cstheme="majorBidi"/>
      <w:b/>
      <w:bCs/>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text"/>
    <w:basedOn w:val="1"/>
    <w:link w:val="29"/>
    <w:semiHidden/>
    <w:unhideWhenUsed/>
    <w:qFormat/>
    <w:uiPriority w:val="99"/>
    <w:pPr>
      <w:jc w:val="left"/>
    </w:pPr>
  </w:style>
  <w:style w:type="paragraph" w:styleId="7">
    <w:name w:val="toc 3"/>
    <w:basedOn w:val="1"/>
    <w:next w:val="1"/>
    <w:unhideWhenUsed/>
    <w:qFormat/>
    <w:uiPriority w:val="39"/>
    <w:pPr>
      <w:ind w:left="840" w:leftChars="400"/>
    </w:pPr>
  </w:style>
  <w:style w:type="paragraph" w:styleId="8">
    <w:name w:val="Date"/>
    <w:basedOn w:val="1"/>
    <w:next w:val="1"/>
    <w:link w:val="26"/>
    <w:semiHidden/>
    <w:unhideWhenUsed/>
    <w:qFormat/>
    <w:uiPriority w:val="99"/>
    <w:pPr>
      <w:ind w:left="100" w:leftChars="2500"/>
    </w:pPr>
  </w:style>
  <w:style w:type="paragraph" w:styleId="9">
    <w:name w:val="Balloon Text"/>
    <w:basedOn w:val="1"/>
    <w:link w:val="31"/>
    <w:semiHidden/>
    <w:unhideWhenUsed/>
    <w:qFormat/>
    <w:uiPriority w:val="99"/>
    <w:pPr>
      <w:spacing w:line="240" w:lineRule="auto"/>
    </w:pPr>
    <w:rPr>
      <w:sz w:val="18"/>
      <w:szCs w:val="18"/>
    </w:rPr>
  </w:style>
  <w:style w:type="paragraph" w:styleId="10">
    <w:name w:val="footer"/>
    <w:basedOn w:val="1"/>
    <w:link w:val="24"/>
    <w:unhideWhenUsed/>
    <w:qFormat/>
    <w:uiPriority w:val="99"/>
    <w:pPr>
      <w:tabs>
        <w:tab w:val="center" w:pos="4153"/>
        <w:tab w:val="right" w:pos="8306"/>
      </w:tabs>
      <w:snapToGrid w:val="0"/>
      <w:jc w:val="left"/>
    </w:pPr>
    <w:rPr>
      <w:sz w:val="18"/>
      <w:szCs w:val="18"/>
    </w:rPr>
  </w:style>
  <w:style w:type="paragraph" w:styleId="11">
    <w:name w:val="header"/>
    <w:basedOn w:val="1"/>
    <w:link w:val="23"/>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annotation subject"/>
    <w:basedOn w:val="6"/>
    <w:next w:val="6"/>
    <w:link w:val="30"/>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character" w:styleId="19">
    <w:name w:val="annotation reference"/>
    <w:basedOn w:val="17"/>
    <w:semiHidden/>
    <w:unhideWhenUsed/>
    <w:qFormat/>
    <w:uiPriority w:val="99"/>
    <w:rPr>
      <w:sz w:val="21"/>
      <w:szCs w:val="21"/>
    </w:rPr>
  </w:style>
  <w:style w:type="character" w:customStyle="1" w:styleId="20">
    <w:name w:val="标题 1 字符"/>
    <w:basedOn w:val="17"/>
    <w:link w:val="2"/>
    <w:qFormat/>
    <w:uiPriority w:val="9"/>
    <w:rPr>
      <w:rFonts w:eastAsia="仿宋"/>
      <w:b/>
      <w:bCs/>
      <w:kern w:val="44"/>
      <w:sz w:val="30"/>
      <w:szCs w:val="44"/>
    </w:rPr>
  </w:style>
  <w:style w:type="paragraph" w:styleId="21">
    <w:name w:val="List Paragraph"/>
    <w:basedOn w:val="1"/>
    <w:qFormat/>
    <w:uiPriority w:val="34"/>
    <w:pPr>
      <w:ind w:firstLine="420" w:firstLineChars="200"/>
    </w:pPr>
  </w:style>
  <w:style w:type="character" w:customStyle="1" w:styleId="22">
    <w:name w:val="标题 2 字符"/>
    <w:basedOn w:val="17"/>
    <w:link w:val="3"/>
    <w:qFormat/>
    <w:uiPriority w:val="9"/>
    <w:rPr>
      <w:rFonts w:eastAsia="仿宋" w:asciiTheme="majorHAnsi" w:hAnsiTheme="majorHAnsi" w:cstheme="majorBidi"/>
      <w:b/>
      <w:bCs/>
      <w:sz w:val="28"/>
      <w:szCs w:val="32"/>
    </w:rPr>
  </w:style>
  <w:style w:type="character" w:customStyle="1" w:styleId="23">
    <w:name w:val="页眉 字符"/>
    <w:basedOn w:val="17"/>
    <w:link w:val="11"/>
    <w:qFormat/>
    <w:uiPriority w:val="99"/>
    <w:rPr>
      <w:rFonts w:eastAsia="华文宋体"/>
      <w:sz w:val="18"/>
      <w:szCs w:val="18"/>
    </w:rPr>
  </w:style>
  <w:style w:type="character" w:customStyle="1" w:styleId="24">
    <w:name w:val="页脚 字符"/>
    <w:basedOn w:val="17"/>
    <w:link w:val="10"/>
    <w:qFormat/>
    <w:uiPriority w:val="99"/>
    <w:rPr>
      <w:rFonts w:eastAsia="华文宋体"/>
      <w:sz w:val="18"/>
      <w:szCs w:val="18"/>
    </w:rPr>
  </w:style>
  <w:style w:type="paragraph" w:customStyle="1" w:styleId="25">
    <w:name w:val="TOC Heading"/>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6">
    <w:name w:val="日期 字符"/>
    <w:basedOn w:val="17"/>
    <w:link w:val="8"/>
    <w:semiHidden/>
    <w:qFormat/>
    <w:uiPriority w:val="99"/>
    <w:rPr>
      <w:rFonts w:eastAsia="华文宋体"/>
      <w:sz w:val="24"/>
    </w:rPr>
  </w:style>
  <w:style w:type="character" w:customStyle="1" w:styleId="27">
    <w:name w:val="标题 3 字符"/>
    <w:basedOn w:val="17"/>
    <w:link w:val="4"/>
    <w:qFormat/>
    <w:uiPriority w:val="9"/>
    <w:rPr>
      <w:rFonts w:eastAsia="仿宋"/>
      <w:b/>
      <w:bCs/>
      <w:sz w:val="24"/>
      <w:szCs w:val="32"/>
    </w:rPr>
  </w:style>
  <w:style w:type="character" w:customStyle="1" w:styleId="28">
    <w:name w:val="标题 4 字符"/>
    <w:basedOn w:val="17"/>
    <w:link w:val="5"/>
    <w:qFormat/>
    <w:uiPriority w:val="9"/>
    <w:rPr>
      <w:rFonts w:eastAsia="华文仿宋" w:asciiTheme="majorHAnsi" w:hAnsiTheme="majorHAnsi" w:cstheme="majorBidi"/>
      <w:b/>
      <w:bCs/>
      <w:sz w:val="24"/>
      <w:szCs w:val="28"/>
    </w:rPr>
  </w:style>
  <w:style w:type="character" w:customStyle="1" w:styleId="29">
    <w:name w:val="批注文字 字符"/>
    <w:basedOn w:val="17"/>
    <w:link w:val="6"/>
    <w:semiHidden/>
    <w:qFormat/>
    <w:uiPriority w:val="99"/>
    <w:rPr>
      <w:rFonts w:eastAsia="华文仿宋"/>
      <w:sz w:val="24"/>
    </w:rPr>
  </w:style>
  <w:style w:type="character" w:customStyle="1" w:styleId="30">
    <w:name w:val="批注主题 字符"/>
    <w:basedOn w:val="29"/>
    <w:link w:val="14"/>
    <w:semiHidden/>
    <w:qFormat/>
    <w:uiPriority w:val="99"/>
    <w:rPr>
      <w:rFonts w:eastAsia="华文仿宋"/>
      <w:b/>
      <w:bCs/>
      <w:sz w:val="24"/>
    </w:rPr>
  </w:style>
  <w:style w:type="character" w:customStyle="1" w:styleId="31">
    <w:name w:val="批注框文本 字符"/>
    <w:basedOn w:val="17"/>
    <w:link w:val="9"/>
    <w:semiHidden/>
    <w:qFormat/>
    <w:uiPriority w:val="99"/>
    <w:rPr>
      <w:rFonts w:eastAsia="华文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header" Target="header1.xml"/><Relationship Id="rId39" Type="http://schemas.openxmlformats.org/officeDocument/2006/relationships/customXml" Target="../customXml/item1.xml"/><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839AB5C-AF31-4EF8-9792-7361392FE312}">
  <ds:schemaRefs/>
</ds:datastoreItem>
</file>

<file path=docProps/app.xml><?xml version="1.0" encoding="utf-8"?>
<Properties xmlns="http://schemas.openxmlformats.org/officeDocument/2006/extended-properties" xmlns:vt="http://schemas.openxmlformats.org/officeDocument/2006/docPropsVTypes">
  <Template>Normal.dotm</Template>
  <Pages>11</Pages>
  <Words>877</Words>
  <Characters>5000</Characters>
  <Lines>41</Lines>
  <Paragraphs>11</Paragraphs>
  <TotalTime>28</TotalTime>
  <ScaleCrop>false</ScaleCrop>
  <LinksUpToDate>false</LinksUpToDate>
  <CharactersWithSpaces>5866</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2018-10-23T08:47:00Z</dcterms:created>
  <dc:creator>lenovo</dc:creator>
  <cp:lastModifiedBy>P_123456</cp:lastModifiedBy>
  <dcterms:modified xsi:type="dcterms:W3CDTF">2019-09-25T01:17:29Z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