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2" w:lineRule="auto"/>
        <w:jc w:val="center"/>
        <w:rPr>
          <w:rFonts w:ascii="华文仿宋" w:hAnsi="华文仿宋" w:eastAsia="华文仿宋" w:cs="华文仿宋"/>
          <w:b/>
          <w:bCs/>
          <w:sz w:val="32"/>
          <w:szCs w:val="32"/>
        </w:rPr>
      </w:pPr>
      <w:r>
        <w:rPr>
          <w:rFonts w:ascii="宋体" w:hAnsi="宋体"/>
          <w:b/>
          <w:bCs/>
          <w:sz w:val="48"/>
          <w:szCs w:val="48"/>
        </w:rPr>
        <w:drawing>
          <wp:anchor distT="0" distB="0" distL="114300" distR="114300" simplePos="0" relativeHeight="251658240" behindDoc="0" locked="0" layoutInCell="1" allowOverlap="1">
            <wp:simplePos x="0" y="0"/>
            <wp:positionH relativeFrom="column">
              <wp:posOffset>1880870</wp:posOffset>
            </wp:positionH>
            <wp:positionV relativeFrom="paragraph">
              <wp:posOffset>394335</wp:posOffset>
            </wp:positionV>
            <wp:extent cx="1804670" cy="1000125"/>
            <wp:effectExtent l="0" t="0" r="5080" b="952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1804670" cy="1000125"/>
                    </a:xfrm>
                    <a:prstGeom prst="rect">
                      <a:avLst/>
                    </a:prstGeom>
                    <a:noFill/>
                    <a:ln w="9525">
                      <a:noFill/>
                    </a:ln>
                  </pic:spPr>
                </pic:pic>
              </a:graphicData>
            </a:graphic>
          </wp:anchor>
        </w:drawing>
      </w:r>
    </w:p>
    <w:p>
      <w:pPr>
        <w:spacing w:line="332" w:lineRule="auto"/>
        <w:jc w:val="center"/>
        <w:rPr>
          <w:rFonts w:ascii="华文仿宋" w:hAnsi="华文仿宋" w:eastAsia="华文仿宋" w:cs="华文仿宋"/>
          <w:b/>
          <w:bCs/>
          <w:sz w:val="32"/>
          <w:szCs w:val="32"/>
        </w:rPr>
      </w:pPr>
    </w:p>
    <w:p>
      <w:pPr>
        <w:spacing w:line="332" w:lineRule="auto"/>
        <w:jc w:val="center"/>
        <w:rPr>
          <w:rFonts w:ascii="华文仿宋" w:hAnsi="华文仿宋" w:eastAsia="华文仿宋" w:cs="华文仿宋"/>
          <w:b/>
          <w:bCs/>
          <w:sz w:val="32"/>
          <w:szCs w:val="32"/>
        </w:rPr>
      </w:pPr>
    </w:p>
    <w:p>
      <w:pPr>
        <w:spacing w:line="332" w:lineRule="auto"/>
        <w:jc w:val="center"/>
        <w:rPr>
          <w:rFonts w:ascii="华文仿宋" w:hAnsi="华文仿宋" w:eastAsia="华文仿宋" w:cs="华文仿宋"/>
          <w:b/>
          <w:bCs/>
          <w:sz w:val="32"/>
          <w:szCs w:val="32"/>
        </w:rPr>
      </w:pPr>
    </w:p>
    <w:p>
      <w:pPr>
        <w:spacing w:line="332" w:lineRule="auto"/>
        <w:jc w:val="center"/>
        <w:rPr>
          <w:rFonts w:ascii="华文仿宋" w:hAnsi="华文仿宋" w:eastAsia="华文仿宋" w:cs="华文仿宋"/>
          <w:b/>
          <w:bCs/>
          <w:sz w:val="32"/>
          <w:szCs w:val="32"/>
        </w:rPr>
      </w:pPr>
    </w:p>
    <w:p>
      <w:pPr>
        <w:spacing w:line="332" w:lineRule="auto"/>
        <w:jc w:val="center"/>
        <w:rPr>
          <w:rFonts w:ascii="华文仿宋" w:hAnsi="华文仿宋" w:eastAsia="华文仿宋" w:cs="华文仿宋"/>
          <w:b/>
          <w:bCs/>
          <w:sz w:val="32"/>
          <w:szCs w:val="32"/>
        </w:rPr>
      </w:pPr>
    </w:p>
    <w:p>
      <w:pPr>
        <w:spacing w:line="332" w:lineRule="auto"/>
        <w:jc w:val="center"/>
        <w:rPr>
          <w:rFonts w:ascii="宋体" w:hAnsi="宋体" w:cs="华文仿宋"/>
          <w:b/>
          <w:bCs/>
          <w:sz w:val="44"/>
          <w:szCs w:val="44"/>
        </w:rPr>
      </w:pPr>
      <w:r>
        <w:rPr>
          <w:rFonts w:hint="eastAsia" w:ascii="宋体" w:hAnsi="宋体" w:cs="华文仿宋"/>
          <w:b/>
          <w:bCs/>
          <w:sz w:val="44"/>
          <w:szCs w:val="44"/>
        </w:rPr>
        <w:t>圆桌论坛</w:t>
      </w: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spacing w:line="332" w:lineRule="auto"/>
        <w:rPr>
          <w:rFonts w:ascii="华文仿宋" w:hAnsi="华文仿宋" w:eastAsia="华文仿宋" w:cs="华文仿宋"/>
          <w:b/>
          <w:bCs/>
          <w:sz w:val="32"/>
          <w:szCs w:val="32"/>
        </w:rPr>
      </w:pPr>
    </w:p>
    <w:p>
      <w:pPr>
        <w:pStyle w:val="5"/>
        <w:tabs>
          <w:tab w:val="right" w:leader="dot" w:pos="8306"/>
        </w:tabs>
        <w:jc w:val="center"/>
        <w:rPr>
          <w:sz w:val="28"/>
          <w:szCs w:val="28"/>
        </w:rPr>
      </w:pPr>
      <w:r>
        <w:rPr>
          <w:rFonts w:hint="eastAsia"/>
          <w:sz w:val="28"/>
          <w:szCs w:val="28"/>
        </w:rPr>
        <w:t>第八届普益标准财富论坛</w:t>
      </w:r>
    </w:p>
    <w:p>
      <w:pPr>
        <w:pStyle w:val="5"/>
        <w:tabs>
          <w:tab w:val="right" w:leader="dot" w:pos="8306"/>
        </w:tabs>
        <w:jc w:val="center"/>
        <w:rPr>
          <w:sz w:val="28"/>
          <w:szCs w:val="28"/>
        </w:rPr>
      </w:pPr>
      <w:r>
        <w:rPr>
          <w:rFonts w:hint="eastAsia"/>
          <w:sz w:val="28"/>
          <w:szCs w:val="28"/>
        </w:rPr>
        <w:t>二Ｏ一九年九月</w:t>
      </w:r>
    </w:p>
    <w:p>
      <w:pPr>
        <w:spacing w:line="360" w:lineRule="auto"/>
        <w:jc w:val="left"/>
        <w:rPr>
          <w:rFonts w:asciiTheme="minorEastAsia" w:hAnsiTheme="minorEastAsia" w:eastAsiaTheme="minorEastAsia" w:cstheme="minorEastAsia"/>
          <w:sz w:val="24"/>
          <w:szCs w:val="24"/>
          <w:lang w:val="zh-CN"/>
        </w:rPr>
      </w:pPr>
    </w:p>
    <w:p>
      <w:pPr>
        <w:spacing w:line="360" w:lineRule="auto"/>
        <w:jc w:val="left"/>
        <w:rPr>
          <w:rFonts w:ascii="宋体" w:hAnsi="宋体"/>
        </w:rPr>
      </w:pPr>
    </w:p>
    <w:p>
      <w:pPr>
        <w:spacing w:line="360" w:lineRule="auto"/>
        <w:jc w:val="left"/>
        <w:rPr>
          <w:rFonts w:ascii="华文仿宋" w:hAnsi="华文仿宋" w:eastAsia="华文仿宋" w:cs="华文仿宋"/>
          <w:sz w:val="24"/>
          <w:szCs w:val="24"/>
        </w:rPr>
      </w:pPr>
      <w:r>
        <w:rPr>
          <w:rFonts w:hint="eastAsia" w:ascii="华文仿宋" w:hAnsi="华文仿宋" w:eastAsia="华文仿宋" w:cs="华文仿宋"/>
          <w:b/>
          <w:sz w:val="28"/>
          <w:szCs w:val="28"/>
          <w:lang w:val="zh-CN"/>
        </w:rPr>
        <w:t>论坛嘉宾：</w:t>
      </w:r>
    </w:p>
    <w:p>
      <w:pPr>
        <w:widowControl w:val="0"/>
        <w:spacing w:line="360" w:lineRule="auto"/>
        <w:rPr>
          <w:rFonts w:ascii="华文仿宋" w:hAnsi="华文仿宋" w:eastAsia="华文仿宋"/>
          <w:bCs/>
          <w:sz w:val="24"/>
          <w:szCs w:val="24"/>
          <w:lang w:val="zh-CN"/>
        </w:rPr>
      </w:pPr>
      <w:r>
        <w:rPr>
          <w:rFonts w:hint="eastAsia" w:ascii="华文仿宋" w:hAnsi="华文仿宋" w:eastAsia="华文仿宋"/>
          <w:bCs/>
          <w:sz w:val="24"/>
          <w:szCs w:val="24"/>
          <w:lang w:val="zh-CN"/>
        </w:rPr>
        <w:t>华夏银行资产管理部副总经理</w:t>
      </w:r>
      <w:r>
        <w:rPr>
          <w:rFonts w:hint="eastAsia" w:ascii="华文仿宋" w:hAnsi="华文仿宋" w:eastAsia="华文仿宋"/>
          <w:bCs/>
          <w:sz w:val="24"/>
          <w:szCs w:val="24"/>
        </w:rPr>
        <w:t xml:space="preserve">  </w:t>
      </w:r>
      <w:r>
        <w:rPr>
          <w:rFonts w:hint="eastAsia" w:ascii="华文仿宋" w:hAnsi="华文仿宋" w:eastAsia="华文仿宋"/>
          <w:bCs/>
          <w:sz w:val="24"/>
          <w:szCs w:val="24"/>
          <w:lang w:val="zh-CN"/>
        </w:rPr>
        <w:t>周永华</w:t>
      </w:r>
    </w:p>
    <w:p>
      <w:pPr>
        <w:widowControl w:val="0"/>
        <w:spacing w:line="360" w:lineRule="auto"/>
        <w:rPr>
          <w:rFonts w:ascii="华文仿宋" w:hAnsi="华文仿宋" w:eastAsia="华文仿宋"/>
          <w:bCs/>
          <w:sz w:val="24"/>
          <w:szCs w:val="24"/>
          <w:lang w:val="zh-CN"/>
        </w:rPr>
      </w:pPr>
      <w:r>
        <w:rPr>
          <w:rFonts w:hint="eastAsia" w:ascii="华文仿宋" w:hAnsi="华文仿宋" w:eastAsia="华文仿宋"/>
          <w:bCs/>
          <w:sz w:val="24"/>
          <w:szCs w:val="24"/>
          <w:lang w:val="zh-CN"/>
        </w:rPr>
        <w:t>晋商银行资产管理部副总经理</w:t>
      </w:r>
      <w:r>
        <w:rPr>
          <w:rFonts w:hint="eastAsia" w:ascii="华文仿宋" w:hAnsi="华文仿宋" w:eastAsia="华文仿宋"/>
          <w:bCs/>
          <w:sz w:val="24"/>
          <w:szCs w:val="24"/>
        </w:rPr>
        <w:t xml:space="preserve">  </w:t>
      </w:r>
      <w:r>
        <w:rPr>
          <w:rFonts w:hint="eastAsia" w:ascii="华文仿宋" w:hAnsi="华文仿宋" w:eastAsia="华文仿宋"/>
          <w:bCs/>
          <w:sz w:val="24"/>
          <w:szCs w:val="24"/>
          <w:lang w:val="zh-CN"/>
        </w:rPr>
        <w:t>宋进文</w:t>
      </w:r>
    </w:p>
    <w:p>
      <w:pPr>
        <w:widowControl w:val="0"/>
        <w:spacing w:line="360" w:lineRule="auto"/>
        <w:rPr>
          <w:rFonts w:ascii="华文仿宋" w:hAnsi="华文仿宋" w:eastAsia="华文仿宋"/>
          <w:bCs/>
          <w:sz w:val="24"/>
          <w:szCs w:val="24"/>
          <w:lang w:val="zh-CN"/>
        </w:rPr>
      </w:pPr>
      <w:r>
        <w:rPr>
          <w:rFonts w:hint="eastAsia" w:ascii="华文仿宋" w:hAnsi="华文仿宋" w:eastAsia="华文仿宋"/>
          <w:bCs/>
          <w:sz w:val="24"/>
          <w:szCs w:val="24"/>
          <w:lang w:val="zh-CN"/>
        </w:rPr>
        <w:t>英大信托副总经理</w:t>
      </w:r>
      <w:r>
        <w:rPr>
          <w:rFonts w:hint="eastAsia" w:ascii="华文仿宋" w:hAnsi="华文仿宋" w:eastAsia="华文仿宋"/>
          <w:bCs/>
          <w:sz w:val="24"/>
          <w:szCs w:val="24"/>
        </w:rPr>
        <w:t xml:space="preserve">  </w:t>
      </w:r>
      <w:r>
        <w:rPr>
          <w:rFonts w:hint="eastAsia" w:ascii="华文仿宋" w:hAnsi="华文仿宋" w:eastAsia="华文仿宋"/>
          <w:bCs/>
          <w:sz w:val="24"/>
          <w:szCs w:val="24"/>
          <w:lang w:val="zh-CN"/>
        </w:rPr>
        <w:t>乔发栋</w:t>
      </w:r>
    </w:p>
    <w:p>
      <w:pPr>
        <w:widowControl w:val="0"/>
        <w:spacing w:line="360" w:lineRule="auto"/>
        <w:rPr>
          <w:rFonts w:ascii="华文仿宋" w:hAnsi="华文仿宋" w:eastAsia="华文仿宋"/>
          <w:bCs/>
          <w:sz w:val="24"/>
          <w:szCs w:val="24"/>
          <w:lang w:val="zh-CN"/>
        </w:rPr>
      </w:pPr>
      <w:r>
        <w:rPr>
          <w:rFonts w:hint="eastAsia" w:ascii="华文仿宋" w:hAnsi="华文仿宋" w:eastAsia="华文仿宋"/>
          <w:bCs/>
          <w:sz w:val="24"/>
          <w:szCs w:val="24"/>
          <w:lang w:val="zh-CN"/>
        </w:rPr>
        <w:t>国金基金副总经理兼固定收益投资总监</w:t>
      </w:r>
      <w:r>
        <w:rPr>
          <w:rFonts w:hint="eastAsia" w:ascii="华文仿宋" w:hAnsi="华文仿宋" w:eastAsia="华文仿宋"/>
          <w:bCs/>
          <w:sz w:val="24"/>
          <w:szCs w:val="24"/>
        </w:rPr>
        <w:t xml:space="preserve">  </w:t>
      </w:r>
      <w:r>
        <w:rPr>
          <w:rFonts w:hint="eastAsia" w:ascii="华文仿宋" w:hAnsi="华文仿宋" w:eastAsia="华文仿宋"/>
          <w:bCs/>
          <w:sz w:val="24"/>
          <w:szCs w:val="24"/>
          <w:lang w:val="zh-CN"/>
        </w:rPr>
        <w:t>索峰</w:t>
      </w:r>
    </w:p>
    <w:p>
      <w:pPr>
        <w:widowControl w:val="0"/>
        <w:spacing w:line="360" w:lineRule="auto"/>
        <w:rPr>
          <w:rFonts w:ascii="华文仿宋" w:hAnsi="华文仿宋" w:eastAsia="华文仿宋" w:cs="华文仿宋"/>
          <w:b/>
          <w:bCs/>
          <w:sz w:val="48"/>
          <w:szCs w:val="48"/>
          <w:lang w:val="zh-CN"/>
        </w:rPr>
        <w:sectPr>
          <w:headerReference r:id="rId3" w:type="default"/>
          <w:pgSz w:w="12240" w:h="15840"/>
          <w:pgMar w:top="1440" w:right="1800" w:bottom="1440" w:left="1800" w:header="720" w:footer="720" w:gutter="0"/>
          <w:cols w:space="720" w:num="1"/>
          <w:docGrid w:type="lines" w:linePitch="312" w:charSpace="0"/>
        </w:sectPr>
      </w:pPr>
      <w:r>
        <w:rPr>
          <w:rFonts w:hint="eastAsia" w:ascii="华文仿宋" w:hAnsi="华文仿宋" w:eastAsia="华文仿宋"/>
          <w:bCs/>
          <w:sz w:val="24"/>
          <w:szCs w:val="24"/>
          <w:lang w:val="zh-CN"/>
        </w:rPr>
        <w:t>普益标准副总经理</w:t>
      </w:r>
      <w:r>
        <w:rPr>
          <w:rFonts w:hint="eastAsia" w:ascii="华文仿宋" w:hAnsi="华文仿宋" w:eastAsia="华文仿宋"/>
          <w:bCs/>
          <w:sz w:val="24"/>
          <w:szCs w:val="24"/>
        </w:rPr>
        <w:t xml:space="preserve">  </w:t>
      </w:r>
      <w:r>
        <w:rPr>
          <w:rFonts w:hint="eastAsia" w:ascii="华文仿宋" w:hAnsi="华文仿宋" w:eastAsia="华文仿宋"/>
          <w:bCs/>
          <w:sz w:val="24"/>
          <w:szCs w:val="24"/>
          <w:lang w:val="zh-CN"/>
        </w:rPr>
        <w:t>付巍伟</w:t>
      </w:r>
    </w:p>
    <w:p>
      <w:pPr>
        <w:spacing w:line="360" w:lineRule="auto"/>
        <w:jc w:val="center"/>
        <w:rPr>
          <w:rFonts w:ascii="宋体" w:hAnsi="宋体" w:cs="宋体"/>
          <w:b/>
          <w:bCs/>
          <w:sz w:val="32"/>
          <w:szCs w:val="32"/>
          <w:lang w:val="zh-CN"/>
        </w:rPr>
      </w:pPr>
      <w:r>
        <w:rPr>
          <w:rFonts w:hint="eastAsia" w:ascii="华文仿宋" w:hAnsi="华文仿宋" w:eastAsia="华文仿宋" w:cs="华文仿宋"/>
          <w:b/>
          <w:bCs/>
          <w:sz w:val="48"/>
          <w:szCs w:val="48"/>
          <w:lang w:val="zh-CN"/>
        </w:rPr>
        <w:t>圆桌论坛</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2019年是资管新规发布之后，中国资产管理行业转型和过渡的关键一年，是理财时代承前启后，继往开来的重要节点。行业净值转型加速推进，理财子公司批复，都意味着资产管理行业正式进入了新时代。随着行业制度基础、产品和业务模式的逐步重构，资产管理行业发展的逻辑正在发生较大变化。</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资管新规之后，各类机构如何明晰资产管理业务和财富管理业务的发展方向？在合规的基本要求之下，银行理财子公司如何进行产品线布局、运营体系建设、投研框架体系搭建和系统架构？理财子公司的批复和开业将如何影响资产管理行业和财富管理行业发展格局？对此，201</w:t>
      </w:r>
      <w:r>
        <w:rPr>
          <w:rFonts w:hint="eastAsia" w:ascii="华文仿宋" w:hAnsi="华文仿宋" w:eastAsia="华文仿宋" w:cs="华文仿宋"/>
          <w:sz w:val="24"/>
          <w:szCs w:val="24"/>
        </w:rPr>
        <w:t>9</w:t>
      </w:r>
      <w:r>
        <w:rPr>
          <w:rFonts w:hint="eastAsia" w:ascii="华文仿宋" w:hAnsi="华文仿宋" w:eastAsia="华文仿宋" w:cs="华文仿宋"/>
          <w:sz w:val="24"/>
          <w:szCs w:val="24"/>
          <w:lang w:val="zh-CN"/>
        </w:rPr>
        <w:t>年</w:t>
      </w:r>
      <w:r>
        <w:rPr>
          <w:rFonts w:hint="eastAsia" w:ascii="华文仿宋" w:hAnsi="华文仿宋" w:eastAsia="华文仿宋" w:cs="华文仿宋"/>
          <w:sz w:val="24"/>
          <w:szCs w:val="24"/>
        </w:rPr>
        <w:t>9</w:t>
      </w:r>
      <w:r>
        <w:rPr>
          <w:rFonts w:hint="eastAsia" w:ascii="华文仿宋" w:hAnsi="华文仿宋" w:eastAsia="华文仿宋" w:cs="华文仿宋"/>
          <w:sz w:val="24"/>
          <w:szCs w:val="24"/>
          <w:lang w:val="zh-CN"/>
        </w:rPr>
        <w:t>月</w:t>
      </w:r>
      <w:r>
        <w:rPr>
          <w:rFonts w:hint="eastAsia" w:ascii="华文仿宋" w:hAnsi="华文仿宋" w:eastAsia="华文仿宋" w:cs="华文仿宋"/>
          <w:sz w:val="24"/>
          <w:szCs w:val="24"/>
        </w:rPr>
        <w:t>20</w:t>
      </w:r>
      <w:r>
        <w:rPr>
          <w:rFonts w:hint="eastAsia" w:ascii="华文仿宋" w:hAnsi="华文仿宋" w:eastAsia="华文仿宋" w:cs="华文仿宋"/>
          <w:sz w:val="24"/>
          <w:szCs w:val="24"/>
          <w:lang w:val="zh-CN"/>
        </w:rPr>
        <w:t>日，由普益标准主办、华夏银行协办的“201</w:t>
      </w:r>
      <w:r>
        <w:rPr>
          <w:rFonts w:hint="eastAsia" w:ascii="华文仿宋" w:hAnsi="华文仿宋" w:eastAsia="华文仿宋" w:cs="华文仿宋"/>
          <w:sz w:val="24"/>
          <w:szCs w:val="24"/>
        </w:rPr>
        <w:t>9</w:t>
      </w:r>
      <w:r>
        <w:rPr>
          <w:rFonts w:hint="eastAsia" w:ascii="华文仿宋" w:hAnsi="华文仿宋" w:eastAsia="华文仿宋" w:cs="华文仿宋"/>
          <w:sz w:val="24"/>
          <w:szCs w:val="24"/>
          <w:lang w:val="zh-CN"/>
        </w:rPr>
        <w:t>第八届普益标准财富论坛——银行理财子公司，启航与未来”在四川成都举办，旨在探讨行业转型以及理财子公司发展。</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在圆桌论坛的讨论中，华夏银行资产管理部副总经理周永华、晋商银行资产管理部副总经理宋进文、英大信托副总经理乔发栋、国金基金副总经理兼固定收益投资总监索峰以及普益标准副总经理付巍伟就“理财新时代与财富管理新业态”进行了富有建设性的思维碰撞。</w:t>
      </w:r>
    </w:p>
    <w:p>
      <w:pPr>
        <w:spacing w:line="360" w:lineRule="auto"/>
        <w:ind w:firstLine="482" w:firstLineChars="200"/>
        <w:jc w:val="left"/>
        <w:rPr>
          <w:rFonts w:ascii="华文仿宋" w:hAnsi="华文仿宋" w:eastAsia="华文仿宋" w:cs="华文仿宋"/>
          <w:b/>
          <w:bCs/>
          <w:sz w:val="24"/>
          <w:szCs w:val="24"/>
        </w:rPr>
      </w:pPr>
      <w:r>
        <w:rPr>
          <w:rFonts w:hint="eastAsia" w:ascii="华文仿宋" w:hAnsi="华文仿宋" w:eastAsia="华文仿宋" w:cs="华文仿宋"/>
          <w:b/>
          <w:bCs/>
          <w:sz w:val="24"/>
          <w:szCs w:val="24"/>
        </w:rPr>
        <w:t>本次圆桌论坛主要谈及以下四大议题：</w:t>
      </w:r>
    </w:p>
    <w:p>
      <w:pPr>
        <w:numPr>
          <w:ilvl w:val="0"/>
          <w:numId w:val="1"/>
        </w:numPr>
        <w:spacing w:line="360" w:lineRule="auto"/>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行业净值型转型过程中的压力和转折点是什么，未来有没有比较好的解决方案；</w:t>
      </w:r>
    </w:p>
    <w:p>
      <w:pPr>
        <w:numPr>
          <w:ilvl w:val="0"/>
          <w:numId w:val="1"/>
        </w:numPr>
        <w:spacing w:line="360" w:lineRule="auto"/>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银行、信托和基金资管产品的优劣势；</w:t>
      </w:r>
    </w:p>
    <w:p>
      <w:pPr>
        <w:numPr>
          <w:ilvl w:val="0"/>
          <w:numId w:val="1"/>
        </w:numPr>
        <w:spacing w:line="360" w:lineRule="auto"/>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未来居民财富如何配置，银行、信托和基金在居民财富配置当中发挥什么作用；</w:t>
      </w:r>
    </w:p>
    <w:p>
      <w:pPr>
        <w:numPr>
          <w:ilvl w:val="0"/>
          <w:numId w:val="1"/>
        </w:numPr>
        <w:spacing w:line="360" w:lineRule="auto"/>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对银行理财、银行资管的期许；</w:t>
      </w:r>
    </w:p>
    <w:p>
      <w:pPr>
        <w:spacing w:line="360" w:lineRule="auto"/>
        <w:ind w:firstLine="482" w:firstLineChars="200"/>
        <w:jc w:val="left"/>
        <w:rPr>
          <w:rFonts w:ascii="华文仿宋" w:hAnsi="华文仿宋" w:eastAsia="华文仿宋" w:cs="华文仿宋"/>
          <w:sz w:val="24"/>
          <w:szCs w:val="24"/>
          <w:lang w:val="zh-CN"/>
        </w:rPr>
      </w:pPr>
      <w:r>
        <w:rPr>
          <w:rFonts w:hint="eastAsia" w:ascii="华文仿宋" w:hAnsi="华文仿宋" w:eastAsia="华文仿宋" w:cs="华文仿宋"/>
          <w:b/>
          <w:bCs/>
          <w:sz w:val="24"/>
          <w:szCs w:val="24"/>
          <w:lang w:val="zh-CN"/>
        </w:rPr>
        <w:t>晋商银行资产管理部副总经理宋进文</w:t>
      </w:r>
      <w:r>
        <w:rPr>
          <w:rFonts w:hint="eastAsia" w:ascii="华文仿宋" w:hAnsi="华文仿宋" w:eastAsia="华文仿宋" w:cs="华文仿宋"/>
          <w:sz w:val="24"/>
          <w:szCs w:val="24"/>
          <w:lang w:val="zh-CN"/>
        </w:rPr>
        <w:t>认为，银行机构特别是中小银行在净值化转型过程中面临的压力较大。首先，中小机构对于理财业务战略定位的压力，由于银行高层对于银行理财转型的要求、进程、结果判断等并不一定清晰，使得理财业务在行内的地位不如过去有优势，未来定位不够明晰。其次，中小机构从业人员心理压力，资管新规后，银行理财业务成为各方关注的焦点，从业人员面临着业务整改、合规审计、防范风险等方方面面的压力。此外，中小银行还面临着管理机制、系统、人员数量不足等方面的提升压力。可以通过与外部投研机构、估值和服务外包机构，比如大行、头部券商和基金公司进行投研等方面深度合作，自身集中力量做好产品的标准化、品牌的特色化和渠道的稳定性等工作，整合资源，建立平台，发挥合作各方优势互补，实现共赢。</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关于银行资管产品的优劣势，宋进文表示，理财产品有银行信用的天然背书，居民对于银行的信任和依赖是银行理财最大的优势，同时银行理财可以作为居民资产配置的平台，通过理财实现基金、券商、信托等各类资管机构和资管产品的整合。而劣势在于银行理财对权益、另类何衍生品等投资领域比较陌生，需要找合作机构取长补短。</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关于居民的财富配置，宋进文表示，银行理财更加贴近百姓，在居民财富配置中占据重要地位。首先，理财新规后银行理财投资起点降低，将能吸引更多的长尾客户；其次，银行理财投资策略偏低风险、低波动和绝对收益，是中低收入群体投资理财和拓宽财产性收入的重要选择；此外，资管新规后，银行理财回归本源，支持实体，投资标准化资产，更加规范化。对于中小银行来说，在居民财富配置当中会更加注重区域特色，针对区域居民投资理财的习惯来设计、开发相对应的理财产品和服务。</w:t>
      </w:r>
    </w:p>
    <w:p>
      <w:pPr>
        <w:spacing w:line="360" w:lineRule="auto"/>
        <w:ind w:firstLine="480" w:firstLineChars="200"/>
        <w:jc w:val="left"/>
        <w:rPr>
          <w:rFonts w:ascii="华文仿宋" w:hAnsi="华文仿宋" w:eastAsia="华文仿宋" w:cs="华文仿宋"/>
          <w:sz w:val="24"/>
          <w:szCs w:val="24"/>
        </w:rPr>
      </w:pPr>
      <w:r>
        <w:rPr>
          <w:rFonts w:hint="eastAsia" w:ascii="华文仿宋" w:hAnsi="华文仿宋" w:eastAsia="华文仿宋" w:cs="华文仿宋"/>
          <w:sz w:val="24"/>
          <w:szCs w:val="24"/>
          <w:lang w:val="zh-CN"/>
        </w:rPr>
        <w:t>在总结环节，宋进文表示，未来银行理财将是一个适者生存的时代，也会是一个百舸争流的时代，需要银行人加倍努力适应竞争。</w:t>
      </w:r>
    </w:p>
    <w:p>
      <w:pPr>
        <w:spacing w:line="360" w:lineRule="auto"/>
        <w:ind w:firstLine="482" w:firstLineChars="200"/>
        <w:jc w:val="left"/>
        <w:rPr>
          <w:rFonts w:ascii="华文仿宋" w:hAnsi="华文仿宋" w:eastAsia="华文仿宋" w:cs="华文仿宋"/>
          <w:sz w:val="24"/>
          <w:szCs w:val="24"/>
          <w:lang w:val="zh-CN"/>
        </w:rPr>
      </w:pPr>
      <w:r>
        <w:rPr>
          <w:rFonts w:hint="eastAsia" w:ascii="华文仿宋" w:hAnsi="华文仿宋" w:eastAsia="华文仿宋" w:cs="华文仿宋"/>
          <w:b/>
          <w:bCs/>
          <w:sz w:val="24"/>
          <w:szCs w:val="24"/>
          <w:lang w:val="zh-CN"/>
        </w:rPr>
        <w:t>英大信托副总经理乔发栋</w:t>
      </w:r>
      <w:r>
        <w:rPr>
          <w:rFonts w:hint="eastAsia" w:ascii="华文仿宋" w:hAnsi="华文仿宋" w:eastAsia="华文仿宋" w:cs="华文仿宋"/>
          <w:sz w:val="24"/>
          <w:szCs w:val="24"/>
          <w:lang w:val="zh-CN"/>
        </w:rPr>
        <w:t>认为，行业净值化转型对于信托公司同样是一大挑战。信托公司的资管产品更多的是非标，而非标的净值和估值不易计算。另一方面，真正做到净值化管理还得需要一个可流通、转让的二级市场，这同样是一件艰巨的事情。</w:t>
      </w:r>
    </w:p>
    <w:p>
      <w:pPr>
        <w:spacing w:line="360" w:lineRule="auto"/>
        <w:ind w:firstLine="480" w:firstLineChars="200"/>
        <w:jc w:val="left"/>
        <w:rPr>
          <w:rFonts w:ascii="华文仿宋" w:hAnsi="华文仿宋" w:eastAsia="华文仿宋" w:cs="华文仿宋"/>
          <w:sz w:val="24"/>
          <w:szCs w:val="24"/>
        </w:rPr>
      </w:pPr>
      <w:r>
        <w:rPr>
          <w:rFonts w:hint="eastAsia" w:ascii="华文仿宋" w:hAnsi="华文仿宋" w:eastAsia="华文仿宋" w:cs="华文仿宋"/>
          <w:sz w:val="24"/>
          <w:szCs w:val="24"/>
          <w:lang w:val="zh-CN"/>
        </w:rPr>
        <w:t>关于信托产品的优劣势，乔发栋表示，信托的私募定位决定了信托的劣势，一是销售门槛较高，相较于基金</w:t>
      </w:r>
      <w:r>
        <w:rPr>
          <w:rFonts w:hint="eastAsia" w:ascii="华文仿宋" w:hAnsi="华文仿宋" w:eastAsia="华文仿宋" w:cs="华文仿宋"/>
          <w:sz w:val="24"/>
          <w:szCs w:val="24"/>
        </w:rPr>
        <w:t>1元起投，信托销售门槛要100万；二是信托产品的投资者范围受限；三是信托产品流动性受限。信托产品的优势在于，资金运用范围比较广，可以涉足银行贷款、融资租赁、基础设施、实业等方面；同时，信托的产品设计和创新能力较强，可以设计很多产品；此外，信托制度决定了信托公司在财富传承方面可以做架构。</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关于居民的财富配置，乔发栋表示，从信托公司来看，主要从两方面考虑，一方面是分析投资者的特点，根据投资者的风险偏好情况推荐相应的产品。另一方面，根据自身的禀赋情况量力而行，做最熟悉的专业，在此基础上为投资者提供选择。在当前的情况下，乔发栋认为，第一要保证投资的安全性，第二就是投资的流动性。</w:t>
      </w:r>
    </w:p>
    <w:p>
      <w:pPr>
        <w:spacing w:line="360" w:lineRule="auto"/>
        <w:ind w:firstLine="480" w:firstLineChars="200"/>
        <w:jc w:val="left"/>
        <w:rPr>
          <w:rFonts w:ascii="华文仿宋" w:hAnsi="华文仿宋" w:eastAsia="华文仿宋" w:cs="华文仿宋"/>
          <w:sz w:val="24"/>
          <w:szCs w:val="24"/>
        </w:rPr>
      </w:pPr>
      <w:r>
        <w:rPr>
          <w:rFonts w:hint="eastAsia" w:ascii="华文仿宋" w:hAnsi="华文仿宋" w:eastAsia="华文仿宋" w:cs="华文仿宋"/>
          <w:sz w:val="24"/>
          <w:szCs w:val="24"/>
          <w:lang w:val="zh-CN"/>
        </w:rPr>
        <w:t>在总结环节，乔发栋表示，银行在金融体系的重要性不可动摇，理财子公司同样在大资管领域占据重要地位，希望理财子公司的业务模式能够及早落地。</w:t>
      </w:r>
    </w:p>
    <w:p>
      <w:pPr>
        <w:spacing w:line="360" w:lineRule="auto"/>
        <w:ind w:firstLine="482" w:firstLineChars="200"/>
        <w:jc w:val="left"/>
        <w:rPr>
          <w:rFonts w:ascii="华文仿宋" w:hAnsi="华文仿宋" w:eastAsia="华文仿宋" w:cs="华文仿宋"/>
          <w:sz w:val="24"/>
          <w:szCs w:val="24"/>
          <w:lang w:val="zh-CN"/>
        </w:rPr>
      </w:pPr>
      <w:r>
        <w:rPr>
          <w:rFonts w:hint="eastAsia" w:ascii="华文仿宋" w:hAnsi="华文仿宋" w:eastAsia="华文仿宋" w:cs="华文仿宋"/>
          <w:b/>
          <w:bCs/>
          <w:sz w:val="24"/>
          <w:szCs w:val="24"/>
          <w:lang w:val="zh-CN"/>
        </w:rPr>
        <w:t>国金基金副总经理兼固定收益投资总监索峰</w:t>
      </w:r>
      <w:r>
        <w:rPr>
          <w:rFonts w:hint="eastAsia" w:ascii="华文仿宋" w:hAnsi="华文仿宋" w:eastAsia="华文仿宋" w:cs="华文仿宋"/>
          <w:sz w:val="24"/>
          <w:szCs w:val="24"/>
          <w:lang w:val="zh-CN"/>
        </w:rPr>
        <w:t>认为，公募基金管理公司除货币基金外的其它</w:t>
      </w:r>
      <w:r>
        <w:rPr>
          <w:rFonts w:ascii="华文仿宋" w:hAnsi="华文仿宋" w:eastAsia="华文仿宋" w:cs="华文仿宋"/>
          <w:sz w:val="24"/>
          <w:szCs w:val="24"/>
          <w:lang w:val="zh-CN"/>
        </w:rPr>
        <w:t>公募或</w:t>
      </w:r>
      <w:r>
        <w:rPr>
          <w:rFonts w:hint="eastAsia" w:ascii="华文仿宋" w:hAnsi="华文仿宋" w:eastAsia="华文仿宋" w:cs="华文仿宋"/>
          <w:sz w:val="24"/>
          <w:szCs w:val="24"/>
          <w:lang w:val="zh-CN"/>
        </w:rPr>
        <w:t>专</w:t>
      </w:r>
      <w:r>
        <w:rPr>
          <w:rFonts w:ascii="华文仿宋" w:hAnsi="华文仿宋" w:eastAsia="华文仿宋" w:cs="华文仿宋"/>
          <w:sz w:val="24"/>
          <w:szCs w:val="24"/>
          <w:lang w:val="zh-CN"/>
        </w:rPr>
        <w:t>户产品</w:t>
      </w:r>
      <w:r>
        <w:rPr>
          <w:rFonts w:hint="eastAsia" w:ascii="华文仿宋" w:hAnsi="华文仿宋" w:eastAsia="华文仿宋" w:cs="华文仿宋"/>
          <w:sz w:val="24"/>
          <w:szCs w:val="24"/>
          <w:lang w:val="zh-CN"/>
        </w:rPr>
        <w:t>，不存在净值转型的压力，而货币基金以摊余成本计价符合监管要求。目前，公募基金管理公司在尝试发行净值型的货币基金，主要是因为监管部门对采用摊余成本法进行核算的货币基金有风险准备金挂钩的监管要求，从实际试点情况看，投资者对于净值型货币基金需要一个接受的过程。</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关于公募基金产品的优劣势，索峰表示，相较于银行理财产品和信托产品，公募基金产品有四大优势：一是公募基金认购、申购门槛低，可以兼顾更多投资者的理财需求；二是公募基金信息披露及时、完备，查询便捷；三是基金公司投研体系比较完备，投研能力较强；四是公募基金产品在投资标的层面、基金产品分红收入方面有企业所得税和增值税优惠政策。而基金产品的劣势体现在两方面：一是大部分公募基金产品追求相对回报，一定程度上影响了投资者的实际体验，因为投资者更期望获取正回报；二是产品净值化管理影响注重短期业绩的投资者体验。</w:t>
      </w:r>
    </w:p>
    <w:p>
      <w:pPr>
        <w:spacing w:line="360" w:lineRule="auto"/>
        <w:ind w:firstLine="480" w:firstLineChars="200"/>
        <w:jc w:val="left"/>
        <w:rPr>
          <w:rFonts w:ascii="华文仿宋" w:hAnsi="华文仿宋" w:eastAsia="华文仿宋" w:cs="华文仿宋"/>
          <w:sz w:val="24"/>
          <w:szCs w:val="24"/>
        </w:rPr>
      </w:pPr>
      <w:r>
        <w:rPr>
          <w:rFonts w:hint="eastAsia" w:ascii="华文仿宋" w:hAnsi="华文仿宋" w:eastAsia="华文仿宋" w:cs="华文仿宋"/>
          <w:sz w:val="24"/>
          <w:szCs w:val="24"/>
          <w:lang w:val="zh-CN"/>
        </w:rPr>
        <w:t>关于居民的财富配置，索峰表示，目前公募基金的产品线已经比较齐全，为不同类型投资者提供了多样化选择。相对而言，收益率分布在6%-8%区间的固收+产品，还需要在产品设计和投资管理控制上多下功夫，这类产品的市场潜力很大。</w:t>
      </w:r>
    </w:p>
    <w:p>
      <w:pPr>
        <w:spacing w:line="360" w:lineRule="auto"/>
        <w:ind w:firstLine="480" w:firstLineChars="200"/>
        <w:jc w:val="left"/>
        <w:rPr>
          <w:rFonts w:hint="eastAsia" w:ascii="华文仿宋" w:hAnsi="华文仿宋" w:eastAsia="华文仿宋" w:cs="华文仿宋"/>
          <w:sz w:val="24"/>
          <w:szCs w:val="24"/>
        </w:rPr>
      </w:pPr>
      <w:r>
        <w:rPr>
          <w:rFonts w:hint="eastAsia" w:ascii="华文仿宋" w:hAnsi="华文仿宋" w:eastAsia="华文仿宋" w:cs="华文仿宋"/>
          <w:sz w:val="24"/>
          <w:szCs w:val="24"/>
          <w:lang w:val="zh-CN"/>
        </w:rPr>
        <w:t>在总结环节，索峰表示，希望理财子公司加快进度，尽快开展更多的业务，顺利完成净值化转型，走上快速发展的轨道。</w:t>
      </w:r>
    </w:p>
    <w:p>
      <w:pPr>
        <w:spacing w:line="360" w:lineRule="auto"/>
        <w:ind w:firstLine="482" w:firstLineChars="200"/>
        <w:jc w:val="left"/>
        <w:rPr>
          <w:rFonts w:ascii="华文仿宋" w:hAnsi="华文仿宋" w:eastAsia="华文仿宋" w:cs="华文仿宋"/>
          <w:sz w:val="24"/>
          <w:szCs w:val="24"/>
          <w:lang w:val="zh-CN"/>
        </w:rPr>
      </w:pPr>
      <w:r>
        <w:rPr>
          <w:rFonts w:hint="eastAsia" w:ascii="华文仿宋" w:hAnsi="华文仿宋" w:eastAsia="华文仿宋" w:cs="华文仿宋"/>
          <w:b/>
          <w:bCs/>
          <w:sz w:val="24"/>
          <w:szCs w:val="24"/>
          <w:lang w:val="zh-CN"/>
        </w:rPr>
        <w:t>普益标准副总经理付巍伟</w:t>
      </w:r>
      <w:r>
        <w:rPr>
          <w:rFonts w:hint="eastAsia" w:ascii="华文仿宋" w:hAnsi="华文仿宋" w:eastAsia="华文仿宋" w:cs="华文仿宋"/>
          <w:sz w:val="24"/>
          <w:szCs w:val="24"/>
          <w:lang w:val="zh-CN"/>
        </w:rPr>
        <w:t>认为，从第三方视角来看，整个资管行业经历了由无序扩张到规范发展的过程。面对行业净值化转型，资管机构首先面临的是战略抉择问题，这需要资管行业高层高瞻远瞩，以战略眼光和全局视角来审视行业净值化转型；其次，资管行业存在头部效应，这就需要资管机构在行业转型期更加果决，紧抓机遇。目前行业转型还会处于一个动态的变化过程中，对于普益</w:t>
      </w:r>
      <w:r>
        <w:rPr>
          <w:rFonts w:hint="eastAsia" w:ascii="华文仿宋" w:hAnsi="华文仿宋" w:eastAsia="华文仿宋" w:cs="华文仿宋"/>
          <w:sz w:val="24"/>
          <w:szCs w:val="24"/>
          <w:lang w:val="en-US" w:eastAsia="zh-CN"/>
        </w:rPr>
        <w:t>标准</w:t>
      </w:r>
      <w:r>
        <w:rPr>
          <w:rFonts w:hint="eastAsia" w:ascii="华文仿宋" w:hAnsi="华文仿宋" w:eastAsia="华文仿宋" w:cs="华文仿宋"/>
          <w:sz w:val="24"/>
          <w:szCs w:val="24"/>
          <w:lang w:val="zh-CN"/>
        </w:rPr>
        <w:t>这样的第三方服务机构来说，我们有数据、有案例、有工具，但还有大量的工作需要去做。</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关于各类资管产品的优劣势，付巍伟表示，目前各类机构正在加速融合，竞争和合作的态势比较明显。从第三方角度来看，整个行业开始取长补短，重新定位。各类机构不能固守以往的模式，需要应变而变。</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关于财富配置，付巍伟表示，个人的资产配置需要根据个人的财务管理目标而定，未来行业出现变化，个人的资产配置策略也会变动。</w:t>
      </w:r>
    </w:p>
    <w:p>
      <w:pPr>
        <w:spacing w:line="360" w:lineRule="auto"/>
        <w:ind w:firstLine="480" w:firstLineChars="200"/>
        <w:jc w:val="left"/>
        <w:rPr>
          <w:rFonts w:ascii="华文仿宋" w:hAnsi="华文仿宋" w:eastAsia="华文仿宋" w:cs="华文仿宋"/>
          <w:sz w:val="24"/>
          <w:szCs w:val="24"/>
          <w:lang w:val="zh-CN"/>
        </w:rPr>
      </w:pPr>
      <w:r>
        <w:rPr>
          <w:rFonts w:hint="eastAsia" w:ascii="华文仿宋" w:hAnsi="华文仿宋" w:eastAsia="华文仿宋" w:cs="华文仿宋"/>
          <w:sz w:val="24"/>
          <w:szCs w:val="24"/>
          <w:lang w:val="zh-CN"/>
        </w:rPr>
        <w:t>在总结环节，付巍伟表示，希望银行理财乘风破浪勇敢前行。</w:t>
      </w:r>
      <w:bookmarkStart w:id="0" w:name="_GoBack"/>
      <w:bookmarkEnd w:id="0"/>
    </w:p>
    <w:sectPr>
      <w:footerReference r:id="rId4"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楷体" w:hAnsi="楷体" w:eastAsia="楷体" w:cs="楷体"/>
        <w:b/>
        <w:bCs/>
        <w:color w:val="5B9BD5" w:themeColor="accent1"/>
        <w:sz w:val="21"/>
        <w:szCs w:val="32"/>
      </w:rPr>
    </w:pPr>
    <w:r>
      <w:rPr>
        <w:rFonts w:hint="eastAsia" w:ascii="楷体" w:hAnsi="楷体" w:eastAsia="楷体" w:cs="楷体"/>
        <w:b/>
        <w:bCs/>
        <w:color w:val="5B9BD5" w:themeColor="accent1"/>
        <w:sz w:val="21"/>
        <w:szCs w:val="32"/>
      </w:rPr>
      <w:t>圆桌论坛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DDD716"/>
    <w:multiLevelType w:val="singleLevel"/>
    <w:tmpl w:val="95DDD71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302B1"/>
    <w:rsid w:val="00172A27"/>
    <w:rsid w:val="001914E8"/>
    <w:rsid w:val="001A6FDD"/>
    <w:rsid w:val="002E4FCA"/>
    <w:rsid w:val="003E5B98"/>
    <w:rsid w:val="006C102D"/>
    <w:rsid w:val="0071354B"/>
    <w:rsid w:val="00774E9C"/>
    <w:rsid w:val="00AC1AF7"/>
    <w:rsid w:val="00B90912"/>
    <w:rsid w:val="00C0088E"/>
    <w:rsid w:val="00DE2882"/>
    <w:rsid w:val="00EE7D6A"/>
    <w:rsid w:val="00FF1BE6"/>
    <w:rsid w:val="029F05D5"/>
    <w:rsid w:val="02E1659A"/>
    <w:rsid w:val="03D4771A"/>
    <w:rsid w:val="03D54E21"/>
    <w:rsid w:val="04896376"/>
    <w:rsid w:val="04CB382B"/>
    <w:rsid w:val="059B333F"/>
    <w:rsid w:val="05C20C5F"/>
    <w:rsid w:val="06611F88"/>
    <w:rsid w:val="06D36540"/>
    <w:rsid w:val="0B360B5C"/>
    <w:rsid w:val="0D712238"/>
    <w:rsid w:val="0D851616"/>
    <w:rsid w:val="0F5D48A6"/>
    <w:rsid w:val="0F637EAF"/>
    <w:rsid w:val="108636E1"/>
    <w:rsid w:val="11D54A70"/>
    <w:rsid w:val="126002BB"/>
    <w:rsid w:val="12957438"/>
    <w:rsid w:val="12E96148"/>
    <w:rsid w:val="155361C4"/>
    <w:rsid w:val="172244CF"/>
    <w:rsid w:val="19B04ADB"/>
    <w:rsid w:val="1C932697"/>
    <w:rsid w:val="1DA0154F"/>
    <w:rsid w:val="1EC27FBB"/>
    <w:rsid w:val="1FCD2727"/>
    <w:rsid w:val="20346A66"/>
    <w:rsid w:val="20B371FF"/>
    <w:rsid w:val="20C0528F"/>
    <w:rsid w:val="20FB64DE"/>
    <w:rsid w:val="21032A62"/>
    <w:rsid w:val="2382263F"/>
    <w:rsid w:val="24021AFC"/>
    <w:rsid w:val="24333258"/>
    <w:rsid w:val="2486222C"/>
    <w:rsid w:val="24F755A4"/>
    <w:rsid w:val="25BF6680"/>
    <w:rsid w:val="26840E6D"/>
    <w:rsid w:val="271E6B93"/>
    <w:rsid w:val="27F15E20"/>
    <w:rsid w:val="299A76FA"/>
    <w:rsid w:val="2A8D7221"/>
    <w:rsid w:val="2AA8349F"/>
    <w:rsid w:val="2AD71A7F"/>
    <w:rsid w:val="2D2A6DA6"/>
    <w:rsid w:val="2F25734C"/>
    <w:rsid w:val="307F7DB4"/>
    <w:rsid w:val="31EF32D3"/>
    <w:rsid w:val="31F048C4"/>
    <w:rsid w:val="324973EF"/>
    <w:rsid w:val="32B22746"/>
    <w:rsid w:val="33440ACB"/>
    <w:rsid w:val="33FC64F6"/>
    <w:rsid w:val="347A51BE"/>
    <w:rsid w:val="34F666AA"/>
    <w:rsid w:val="36690C08"/>
    <w:rsid w:val="377B0383"/>
    <w:rsid w:val="39750EF0"/>
    <w:rsid w:val="39B23667"/>
    <w:rsid w:val="3AAA360D"/>
    <w:rsid w:val="3BF1258A"/>
    <w:rsid w:val="3BFF25A9"/>
    <w:rsid w:val="3D0432B5"/>
    <w:rsid w:val="3D134EDF"/>
    <w:rsid w:val="3E1371D9"/>
    <w:rsid w:val="3E287071"/>
    <w:rsid w:val="3F195310"/>
    <w:rsid w:val="415A271B"/>
    <w:rsid w:val="420219ED"/>
    <w:rsid w:val="42630EF8"/>
    <w:rsid w:val="44485C79"/>
    <w:rsid w:val="451F0175"/>
    <w:rsid w:val="473C7E50"/>
    <w:rsid w:val="47FE7AED"/>
    <w:rsid w:val="493268E9"/>
    <w:rsid w:val="4C5F0F4F"/>
    <w:rsid w:val="4CDA5AA3"/>
    <w:rsid w:val="4D854F73"/>
    <w:rsid w:val="4DC31BC4"/>
    <w:rsid w:val="4F1E236B"/>
    <w:rsid w:val="501A010C"/>
    <w:rsid w:val="54F252F5"/>
    <w:rsid w:val="55B615CD"/>
    <w:rsid w:val="56201B5B"/>
    <w:rsid w:val="5685354A"/>
    <w:rsid w:val="58617B2E"/>
    <w:rsid w:val="5A18505D"/>
    <w:rsid w:val="5A512E19"/>
    <w:rsid w:val="5F7220B1"/>
    <w:rsid w:val="60BD11F2"/>
    <w:rsid w:val="623D1490"/>
    <w:rsid w:val="62DB3ADF"/>
    <w:rsid w:val="631677A9"/>
    <w:rsid w:val="64104EF2"/>
    <w:rsid w:val="64655C71"/>
    <w:rsid w:val="657766C4"/>
    <w:rsid w:val="675E07B4"/>
    <w:rsid w:val="688453E6"/>
    <w:rsid w:val="6A2A1EDB"/>
    <w:rsid w:val="6A4A5A42"/>
    <w:rsid w:val="6D535020"/>
    <w:rsid w:val="6EC129C3"/>
    <w:rsid w:val="6FA40864"/>
    <w:rsid w:val="71F16D13"/>
    <w:rsid w:val="73324631"/>
    <w:rsid w:val="773C33E7"/>
    <w:rsid w:val="77D171AC"/>
    <w:rsid w:val="789E4BD5"/>
    <w:rsid w:val="794E0F29"/>
    <w:rsid w:val="7C4D25FE"/>
    <w:rsid w:val="7CC27EE7"/>
    <w:rsid w:val="7D2677E1"/>
    <w:rsid w:val="7D611DFE"/>
    <w:rsid w:val="7DDC27D4"/>
    <w:rsid w:val="7EDC441D"/>
    <w:rsid w:val="7FB3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widowControl w:val="0"/>
      <w:spacing w:line="332" w:lineRule="auto"/>
    </w:pPr>
    <w:rPr>
      <w:rFonts w:eastAsia="华文仿宋"/>
      <w:sz w:val="24"/>
      <w:szCs w:val="24"/>
    </w:rPr>
  </w:style>
  <w:style w:type="character" w:customStyle="1" w:styleId="8">
    <w:name w:val="页眉 Char"/>
    <w:basedOn w:val="7"/>
    <w:link w:val="4"/>
    <w:qFormat/>
    <w:uiPriority w:val="0"/>
    <w:rPr>
      <w:rFonts w:eastAsia="宋体"/>
      <w:kern w:val="2"/>
      <w:sz w:val="18"/>
      <w:szCs w:val="18"/>
    </w:rPr>
  </w:style>
  <w:style w:type="character" w:customStyle="1" w:styleId="9">
    <w:name w:val="页脚 Char"/>
    <w:basedOn w:val="7"/>
    <w:link w:val="3"/>
    <w:qFormat/>
    <w:uiPriority w:val="0"/>
    <w:rPr>
      <w:rFonts w:eastAsia="宋体"/>
      <w:kern w:val="2"/>
      <w:sz w:val="18"/>
      <w:szCs w:val="18"/>
    </w:rPr>
  </w:style>
  <w:style w:type="character" w:customStyle="1" w:styleId="10">
    <w:name w:val="批注框文本 Char"/>
    <w:basedOn w:val="7"/>
    <w:link w:val="2"/>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C71575-F877-41AA-8B91-56D7378F3FB8}">
  <ds:schemaRefs/>
</ds:datastoreItem>
</file>

<file path=docProps/app.xml><?xml version="1.0" encoding="utf-8"?>
<Properties xmlns="http://schemas.openxmlformats.org/officeDocument/2006/extended-properties" xmlns:vt="http://schemas.openxmlformats.org/officeDocument/2006/docPropsVTypes">
  <Template>Normal</Template>
  <Pages>8</Pages>
  <Words>510</Words>
  <Characters>2907</Characters>
  <Lines>24</Lines>
  <Paragraphs>6</Paragraphs>
  <TotalTime>4</TotalTime>
  <ScaleCrop>false</ScaleCrop>
  <LinksUpToDate>false</LinksUpToDate>
  <CharactersWithSpaces>3411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2018-10-23T07:18:00Z</dcterms:created>
  <dc:creator>lenovo</dc:creator>
  <cp:lastModifiedBy>Lannie</cp:lastModifiedBy>
  <dcterms:modified xsi:type="dcterms:W3CDTF">2019-10-12T06:31:42Z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