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F9" w:rsidRDefault="00627C6D">
      <w:pPr>
        <w:jc w:val="right"/>
        <w:rPr>
          <w:rFonts w:ascii="宋体" w:eastAsia="宋体" w:hAnsi="宋体"/>
          <w:b/>
          <w:bCs/>
          <w:sz w:val="48"/>
          <w:szCs w:val="48"/>
        </w:rPr>
      </w:pPr>
      <w:r>
        <w:rPr>
          <w:rFonts w:ascii="宋体" w:eastAsia="宋体" w:hAnsi="宋体"/>
          <w:b/>
          <w:bCs/>
          <w:noProof/>
          <w:sz w:val="48"/>
          <w:szCs w:val="48"/>
        </w:rPr>
        <w:drawing>
          <wp:anchor distT="0" distB="0" distL="114300" distR="114300" simplePos="0" relativeHeight="251658240" behindDoc="0" locked="0" layoutInCell="1" allowOverlap="1">
            <wp:simplePos x="0" y="0"/>
            <wp:positionH relativeFrom="column">
              <wp:posOffset>1677670</wp:posOffset>
            </wp:positionH>
            <wp:positionV relativeFrom="paragraph">
              <wp:posOffset>99060</wp:posOffset>
            </wp:positionV>
            <wp:extent cx="1804670" cy="1000125"/>
            <wp:effectExtent l="0" t="0" r="508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04670" cy="1000125"/>
                    </a:xfrm>
                    <a:prstGeom prst="rect">
                      <a:avLst/>
                    </a:prstGeom>
                    <a:noFill/>
                  </pic:spPr>
                </pic:pic>
              </a:graphicData>
            </a:graphic>
          </wp:anchor>
        </w:drawing>
      </w:r>
    </w:p>
    <w:p w:rsidR="001000F9" w:rsidRDefault="001000F9">
      <w:pPr>
        <w:jc w:val="center"/>
        <w:rPr>
          <w:rFonts w:ascii="宋体" w:eastAsia="宋体" w:hAnsi="宋体"/>
          <w:b/>
          <w:bCs/>
          <w:sz w:val="48"/>
          <w:szCs w:val="48"/>
        </w:rPr>
      </w:pPr>
    </w:p>
    <w:p w:rsidR="001000F9" w:rsidRDefault="001000F9">
      <w:pPr>
        <w:jc w:val="center"/>
        <w:rPr>
          <w:rFonts w:ascii="宋体" w:eastAsia="宋体" w:hAnsi="宋体"/>
          <w:b/>
          <w:bCs/>
          <w:sz w:val="48"/>
          <w:szCs w:val="48"/>
        </w:rPr>
      </w:pPr>
    </w:p>
    <w:p w:rsidR="001000F9" w:rsidRDefault="001000F9">
      <w:pPr>
        <w:jc w:val="center"/>
        <w:rPr>
          <w:rFonts w:ascii="宋体" w:eastAsia="宋体" w:hAnsi="宋体"/>
          <w:b/>
          <w:bCs/>
          <w:sz w:val="48"/>
          <w:szCs w:val="48"/>
        </w:rPr>
      </w:pPr>
    </w:p>
    <w:p w:rsidR="001000F9" w:rsidRDefault="001000F9">
      <w:pPr>
        <w:jc w:val="center"/>
        <w:rPr>
          <w:rFonts w:ascii="宋体" w:eastAsia="宋体" w:hAnsi="宋体"/>
          <w:b/>
          <w:bCs/>
          <w:sz w:val="48"/>
          <w:szCs w:val="48"/>
        </w:rPr>
      </w:pPr>
    </w:p>
    <w:p w:rsidR="001000F9" w:rsidRDefault="001000F9">
      <w:pPr>
        <w:jc w:val="center"/>
        <w:rPr>
          <w:rFonts w:ascii="宋体" w:eastAsia="宋体" w:hAnsi="宋体"/>
          <w:b/>
          <w:bCs/>
          <w:sz w:val="48"/>
          <w:szCs w:val="48"/>
        </w:rPr>
      </w:pPr>
    </w:p>
    <w:p w:rsidR="001000F9" w:rsidRDefault="001000F9">
      <w:pPr>
        <w:jc w:val="center"/>
        <w:rPr>
          <w:rFonts w:ascii="宋体" w:eastAsia="宋体" w:hAnsi="宋体"/>
          <w:b/>
          <w:bCs/>
          <w:sz w:val="48"/>
          <w:szCs w:val="48"/>
        </w:rPr>
      </w:pPr>
    </w:p>
    <w:p w:rsidR="001000F9" w:rsidRDefault="00627C6D">
      <w:pPr>
        <w:jc w:val="center"/>
        <w:rPr>
          <w:rFonts w:ascii="宋体" w:eastAsia="宋体" w:hAnsi="宋体"/>
          <w:b/>
          <w:bCs/>
          <w:sz w:val="44"/>
          <w:szCs w:val="44"/>
        </w:rPr>
      </w:pPr>
      <w:r>
        <w:rPr>
          <w:rFonts w:ascii="宋体" w:eastAsia="宋体" w:hAnsi="宋体" w:hint="eastAsia"/>
          <w:b/>
          <w:bCs/>
          <w:sz w:val="44"/>
          <w:szCs w:val="44"/>
        </w:rPr>
        <w:t>银行理财产品净值化与业务模式变革</w:t>
      </w:r>
    </w:p>
    <w:p w:rsidR="001000F9" w:rsidRDefault="001000F9">
      <w:pPr>
        <w:rPr>
          <w:rFonts w:ascii="宋体" w:eastAsia="宋体" w:hAnsi="宋体"/>
          <w:b/>
          <w:bCs/>
        </w:rPr>
      </w:pPr>
    </w:p>
    <w:p w:rsidR="001000F9" w:rsidRDefault="001000F9">
      <w:pPr>
        <w:rPr>
          <w:b/>
          <w:bCs/>
        </w:rPr>
      </w:pPr>
    </w:p>
    <w:p w:rsidR="001000F9" w:rsidRDefault="001000F9">
      <w:pPr>
        <w:rPr>
          <w:b/>
          <w:bCs/>
        </w:rPr>
      </w:pPr>
    </w:p>
    <w:p w:rsidR="001000F9" w:rsidRDefault="001000F9">
      <w:pPr>
        <w:rPr>
          <w:b/>
          <w:bCs/>
        </w:rPr>
      </w:pPr>
    </w:p>
    <w:p w:rsidR="001000F9" w:rsidRDefault="001000F9">
      <w:pPr>
        <w:rPr>
          <w:b/>
          <w:bCs/>
        </w:rPr>
      </w:pPr>
    </w:p>
    <w:p w:rsidR="001000F9" w:rsidRDefault="001000F9">
      <w:pPr>
        <w:rPr>
          <w:b/>
          <w:bCs/>
        </w:rPr>
      </w:pPr>
    </w:p>
    <w:p w:rsidR="001000F9" w:rsidRDefault="001000F9">
      <w:pPr>
        <w:rPr>
          <w:b/>
          <w:bCs/>
        </w:rPr>
      </w:pPr>
    </w:p>
    <w:p w:rsidR="001000F9" w:rsidRDefault="001000F9">
      <w:pPr>
        <w:rPr>
          <w:b/>
          <w:bCs/>
        </w:rPr>
      </w:pPr>
    </w:p>
    <w:p w:rsidR="001000F9" w:rsidRDefault="001000F9">
      <w:pPr>
        <w:rPr>
          <w:b/>
          <w:bCs/>
        </w:rPr>
      </w:pPr>
    </w:p>
    <w:p w:rsidR="001000F9" w:rsidRDefault="001000F9">
      <w:pPr>
        <w:rPr>
          <w:b/>
          <w:bCs/>
        </w:rPr>
      </w:pPr>
    </w:p>
    <w:p w:rsidR="001000F9" w:rsidRDefault="00627C6D">
      <w:pPr>
        <w:pStyle w:val="10"/>
        <w:tabs>
          <w:tab w:val="right" w:leader="dot" w:pos="8306"/>
        </w:tabs>
        <w:jc w:val="center"/>
        <w:rPr>
          <w:sz w:val="28"/>
          <w:szCs w:val="28"/>
        </w:rPr>
      </w:pPr>
      <w:r>
        <w:rPr>
          <w:rFonts w:hint="eastAsia"/>
          <w:sz w:val="28"/>
          <w:szCs w:val="28"/>
        </w:rPr>
        <w:t>第</w:t>
      </w:r>
      <w:r>
        <w:rPr>
          <w:rFonts w:hint="eastAsia"/>
          <w:sz w:val="28"/>
          <w:szCs w:val="28"/>
        </w:rPr>
        <w:t>八</w:t>
      </w:r>
      <w:r>
        <w:rPr>
          <w:rFonts w:hint="eastAsia"/>
          <w:sz w:val="28"/>
          <w:szCs w:val="28"/>
        </w:rPr>
        <w:t>届普益标准财富论坛</w:t>
      </w:r>
    </w:p>
    <w:p w:rsidR="001000F9" w:rsidRDefault="00627C6D">
      <w:pPr>
        <w:pStyle w:val="10"/>
        <w:tabs>
          <w:tab w:val="right" w:leader="dot" w:pos="8306"/>
        </w:tabs>
        <w:jc w:val="center"/>
        <w:rPr>
          <w:sz w:val="28"/>
          <w:szCs w:val="28"/>
        </w:rPr>
      </w:pPr>
      <w:r>
        <w:rPr>
          <w:rFonts w:hint="eastAsia"/>
          <w:sz w:val="28"/>
          <w:szCs w:val="28"/>
        </w:rPr>
        <w:t>二Ｏ一</w:t>
      </w:r>
      <w:r>
        <w:rPr>
          <w:rFonts w:hint="eastAsia"/>
          <w:sz w:val="28"/>
          <w:szCs w:val="28"/>
        </w:rPr>
        <w:t>九</w:t>
      </w:r>
      <w:r>
        <w:rPr>
          <w:rFonts w:hint="eastAsia"/>
          <w:sz w:val="28"/>
          <w:szCs w:val="28"/>
        </w:rPr>
        <w:t>年</w:t>
      </w:r>
      <w:r>
        <w:rPr>
          <w:rFonts w:hint="eastAsia"/>
          <w:sz w:val="28"/>
          <w:szCs w:val="28"/>
        </w:rPr>
        <w:t>九</w:t>
      </w:r>
      <w:r>
        <w:rPr>
          <w:rFonts w:hint="eastAsia"/>
          <w:sz w:val="28"/>
          <w:szCs w:val="28"/>
        </w:rPr>
        <w:t>月</w:t>
      </w:r>
    </w:p>
    <w:p w:rsidR="001000F9" w:rsidRDefault="001000F9">
      <w:pPr>
        <w:ind w:firstLineChars="500" w:firstLine="1602"/>
        <w:jc w:val="center"/>
        <w:rPr>
          <w:rFonts w:ascii="华文宋体" w:hAnsi="华文宋体"/>
          <w:b/>
          <w:bCs/>
          <w:sz w:val="32"/>
          <w:szCs w:val="32"/>
        </w:rPr>
        <w:sectPr w:rsidR="001000F9">
          <w:pgSz w:w="11906" w:h="16838"/>
          <w:pgMar w:top="1440" w:right="1800" w:bottom="1440" w:left="1800" w:header="851" w:footer="992" w:gutter="0"/>
          <w:cols w:space="425"/>
          <w:docGrid w:type="lines" w:linePitch="312"/>
        </w:sectPr>
      </w:pPr>
    </w:p>
    <w:p w:rsidR="001000F9" w:rsidRDefault="00627C6D">
      <w:pPr>
        <w:rPr>
          <w:rFonts w:ascii="华文宋体" w:hAnsi="华文宋体"/>
          <w:b/>
          <w:bCs/>
          <w:sz w:val="28"/>
          <w:szCs w:val="28"/>
        </w:rPr>
      </w:pPr>
      <w:r>
        <w:rPr>
          <w:rFonts w:ascii="华文宋体" w:hAnsi="华文宋体" w:hint="eastAsia"/>
          <w:b/>
          <w:bCs/>
          <w:sz w:val="28"/>
          <w:szCs w:val="28"/>
        </w:rPr>
        <w:lastRenderedPageBreak/>
        <w:t>主讲嘉宾：汪圣明</w:t>
      </w:r>
    </w:p>
    <w:p w:rsidR="001000F9" w:rsidRDefault="00627C6D">
      <w:pPr>
        <w:rPr>
          <w:rFonts w:ascii="华文仿宋" w:hAnsi="华文仿宋"/>
          <w:bCs/>
          <w:szCs w:val="24"/>
        </w:rPr>
      </w:pPr>
      <w:r>
        <w:rPr>
          <w:rFonts w:ascii="华文仿宋" w:hAnsi="华文仿宋" w:hint="eastAsia"/>
          <w:bCs/>
          <w:szCs w:val="24"/>
        </w:rPr>
        <w:t>兴业银行资产管理事业部副总裁</w:t>
      </w:r>
    </w:p>
    <w:p w:rsidR="001000F9" w:rsidRDefault="001000F9">
      <w:pPr>
        <w:rPr>
          <w:rFonts w:ascii="华文宋体" w:hAnsi="华文宋体"/>
          <w:b/>
          <w:bCs/>
          <w:sz w:val="32"/>
          <w:szCs w:val="32"/>
        </w:rPr>
      </w:pPr>
    </w:p>
    <w:p w:rsidR="001000F9" w:rsidRDefault="001000F9">
      <w:pPr>
        <w:ind w:firstLineChars="500" w:firstLine="1802"/>
        <w:jc w:val="center"/>
        <w:rPr>
          <w:rFonts w:ascii="华文宋体" w:hAnsi="华文宋体"/>
          <w:b/>
          <w:bCs/>
          <w:sz w:val="36"/>
          <w:szCs w:val="36"/>
        </w:rPr>
        <w:sectPr w:rsidR="001000F9">
          <w:footerReference w:type="default" r:id="rId10"/>
          <w:pgSz w:w="11906" w:h="16838"/>
          <w:pgMar w:top="1440" w:right="1800" w:bottom="1440" w:left="1800" w:header="851" w:footer="992" w:gutter="0"/>
          <w:pgNumType w:start="1"/>
          <w:cols w:space="425"/>
          <w:docGrid w:type="lines" w:linePitch="312"/>
        </w:sectPr>
      </w:pPr>
    </w:p>
    <w:sdt>
      <w:sdtPr>
        <w:rPr>
          <w:rFonts w:ascii="Calibri" w:eastAsia="华文仿宋" w:hAnsi="Calibri" w:cs="Times New Roman" w:hint="eastAsia"/>
          <w:b/>
          <w:bCs/>
          <w:color w:val="5B9BD5"/>
          <w:kern w:val="2"/>
          <w:lang w:val="zh-CN"/>
        </w:rPr>
        <w:id w:val="1797635493"/>
        <w:docPartObj>
          <w:docPartGallery w:val="Table of Contents"/>
          <w:docPartUnique/>
        </w:docPartObj>
      </w:sdtPr>
      <w:sdtEndPr>
        <w:rPr>
          <w:rFonts w:ascii="华文仿宋" w:hAnsi="华文仿宋" w:cstheme="minorBidi"/>
          <w:color w:val="auto"/>
          <w:sz w:val="24"/>
          <w:szCs w:val="24"/>
        </w:rPr>
      </w:sdtEndPr>
      <w:sdtContent>
        <w:p w:rsidR="001000F9" w:rsidRDefault="00627C6D">
          <w:pPr>
            <w:pStyle w:val="TOC1"/>
            <w:jc w:val="center"/>
            <w:rPr>
              <w:rFonts w:ascii="Calibri" w:eastAsia="华文仿宋" w:hAnsi="Calibri" w:cs="Times New Roman"/>
              <w:b/>
              <w:bCs/>
              <w:color w:val="5B9BD5"/>
              <w:kern w:val="2"/>
            </w:rPr>
          </w:pPr>
          <w:r>
            <w:rPr>
              <w:rFonts w:ascii="Calibri" w:eastAsia="华文仿宋" w:hAnsi="Calibri" w:cs="Times New Roman" w:hint="eastAsia"/>
              <w:b/>
              <w:bCs/>
              <w:color w:val="5B9BD5"/>
              <w:kern w:val="2"/>
            </w:rPr>
            <w:t>目</w:t>
          </w:r>
          <w:r>
            <w:rPr>
              <w:rFonts w:ascii="Calibri" w:eastAsia="华文仿宋" w:hAnsi="Calibri" w:cs="Times New Roman" w:hint="eastAsia"/>
              <w:b/>
              <w:bCs/>
              <w:color w:val="5B9BD5"/>
              <w:kern w:val="2"/>
            </w:rPr>
            <w:t xml:space="preserve"> </w:t>
          </w:r>
          <w:r>
            <w:rPr>
              <w:rFonts w:ascii="Calibri" w:eastAsia="华文仿宋" w:hAnsi="Calibri" w:cs="Times New Roman" w:hint="eastAsia"/>
              <w:b/>
              <w:bCs/>
              <w:color w:val="5B9BD5"/>
              <w:kern w:val="2"/>
            </w:rPr>
            <w:t>录</w:t>
          </w:r>
        </w:p>
        <w:p w:rsidR="004D510B" w:rsidRDefault="001000F9">
          <w:pPr>
            <w:pStyle w:val="10"/>
            <w:tabs>
              <w:tab w:val="right" w:leader="dot" w:pos="8296"/>
            </w:tabs>
            <w:rPr>
              <w:rFonts w:eastAsiaTheme="minorEastAsia"/>
              <w:noProof/>
              <w:sz w:val="21"/>
            </w:rPr>
          </w:pPr>
          <w:r w:rsidRPr="001000F9">
            <w:rPr>
              <w:rFonts w:ascii="Times New Roman" w:hAnsi="Times New Roman" w:cs="Times New Roman"/>
              <w:b/>
              <w:bCs/>
              <w:szCs w:val="24"/>
              <w:lang w:val="zh-CN"/>
            </w:rPr>
            <w:fldChar w:fldCharType="begin"/>
          </w:r>
          <w:r w:rsidR="00627C6D">
            <w:rPr>
              <w:rFonts w:ascii="Times New Roman" w:hAnsi="Times New Roman" w:cs="Times New Roman"/>
              <w:b/>
              <w:bCs/>
              <w:szCs w:val="24"/>
              <w:lang w:val="zh-CN"/>
            </w:rPr>
            <w:instrText xml:space="preserve"> TOC \o "1-3" \h \z \u </w:instrText>
          </w:r>
          <w:r w:rsidRPr="001000F9">
            <w:rPr>
              <w:rFonts w:ascii="Times New Roman" w:hAnsi="Times New Roman" w:cs="Times New Roman"/>
              <w:b/>
              <w:bCs/>
              <w:szCs w:val="24"/>
              <w:lang w:val="zh-CN"/>
            </w:rPr>
            <w:fldChar w:fldCharType="separate"/>
          </w:r>
          <w:hyperlink w:anchor="_Toc20607709" w:history="1">
            <w:r w:rsidR="004D510B" w:rsidRPr="001F2B95">
              <w:rPr>
                <w:rStyle w:val="aa"/>
                <w:rFonts w:hint="eastAsia"/>
                <w:noProof/>
              </w:rPr>
              <w:t>一、</w:t>
            </w:r>
            <w:r w:rsidR="004D510B" w:rsidRPr="001F2B95">
              <w:rPr>
                <w:rStyle w:val="aa"/>
                <w:rFonts w:ascii="华文仿宋" w:hAnsi="华文仿宋" w:hint="eastAsia"/>
                <w:noProof/>
              </w:rPr>
              <w:t>银行理财客户基础与特点</w:t>
            </w:r>
            <w:r w:rsidR="004D510B">
              <w:rPr>
                <w:noProof/>
                <w:webHidden/>
              </w:rPr>
              <w:tab/>
            </w:r>
            <w:r w:rsidR="004D510B">
              <w:rPr>
                <w:noProof/>
                <w:webHidden/>
              </w:rPr>
              <w:fldChar w:fldCharType="begin"/>
            </w:r>
            <w:r w:rsidR="004D510B">
              <w:rPr>
                <w:noProof/>
                <w:webHidden/>
              </w:rPr>
              <w:instrText xml:space="preserve"> PAGEREF _Toc20607709 \h </w:instrText>
            </w:r>
            <w:r w:rsidR="004D510B">
              <w:rPr>
                <w:noProof/>
                <w:webHidden/>
              </w:rPr>
            </w:r>
            <w:r w:rsidR="004D510B">
              <w:rPr>
                <w:noProof/>
                <w:webHidden/>
              </w:rPr>
              <w:fldChar w:fldCharType="separate"/>
            </w:r>
            <w:r w:rsidR="004D510B">
              <w:rPr>
                <w:noProof/>
                <w:webHidden/>
              </w:rPr>
              <w:t>1</w:t>
            </w:r>
            <w:r w:rsidR="004D510B">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0" w:history="1">
            <w:r w:rsidRPr="001F2B95">
              <w:rPr>
                <w:rStyle w:val="aa"/>
                <w:rFonts w:ascii="华文仿宋" w:hAnsi="华文仿宋"/>
                <w:noProof/>
              </w:rPr>
              <w:t>1.1</w:t>
            </w:r>
            <w:r w:rsidRPr="001F2B95">
              <w:rPr>
                <w:rStyle w:val="aa"/>
                <w:rFonts w:ascii="华文仿宋" w:hAnsi="华文仿宋" w:hint="eastAsia"/>
                <w:noProof/>
              </w:rPr>
              <w:t>理财规模稳定，集中度提高</w:t>
            </w:r>
            <w:r>
              <w:rPr>
                <w:noProof/>
                <w:webHidden/>
              </w:rPr>
              <w:tab/>
            </w:r>
            <w:r>
              <w:rPr>
                <w:noProof/>
                <w:webHidden/>
              </w:rPr>
              <w:fldChar w:fldCharType="begin"/>
            </w:r>
            <w:r>
              <w:rPr>
                <w:noProof/>
                <w:webHidden/>
              </w:rPr>
              <w:instrText xml:space="preserve"> PAGEREF _Toc20607710 \h </w:instrText>
            </w:r>
            <w:r>
              <w:rPr>
                <w:noProof/>
                <w:webHidden/>
              </w:rPr>
            </w:r>
            <w:r>
              <w:rPr>
                <w:noProof/>
                <w:webHidden/>
              </w:rPr>
              <w:fldChar w:fldCharType="separate"/>
            </w:r>
            <w:r>
              <w:rPr>
                <w:noProof/>
                <w:webHidden/>
              </w:rPr>
              <w:t>1</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1" w:history="1">
            <w:r w:rsidRPr="001F2B95">
              <w:rPr>
                <w:rStyle w:val="aa"/>
                <w:rFonts w:ascii="华文仿宋" w:hAnsi="华文仿宋"/>
                <w:noProof/>
              </w:rPr>
              <w:t>1.2</w:t>
            </w:r>
            <w:r w:rsidRPr="001F2B95">
              <w:rPr>
                <w:rStyle w:val="aa"/>
                <w:rFonts w:ascii="华文仿宋" w:hAnsi="华文仿宋" w:hint="eastAsia"/>
                <w:noProof/>
              </w:rPr>
              <w:t>财富总量增长与理财配置刚需</w:t>
            </w:r>
            <w:r>
              <w:rPr>
                <w:noProof/>
                <w:webHidden/>
              </w:rPr>
              <w:tab/>
            </w:r>
            <w:r>
              <w:rPr>
                <w:noProof/>
                <w:webHidden/>
              </w:rPr>
              <w:fldChar w:fldCharType="begin"/>
            </w:r>
            <w:r>
              <w:rPr>
                <w:noProof/>
                <w:webHidden/>
              </w:rPr>
              <w:instrText xml:space="preserve"> PAGEREF _Toc20607711 \h </w:instrText>
            </w:r>
            <w:r>
              <w:rPr>
                <w:noProof/>
                <w:webHidden/>
              </w:rPr>
            </w:r>
            <w:r>
              <w:rPr>
                <w:noProof/>
                <w:webHidden/>
              </w:rPr>
              <w:fldChar w:fldCharType="separate"/>
            </w:r>
            <w:r>
              <w:rPr>
                <w:noProof/>
                <w:webHidden/>
              </w:rPr>
              <w:t>1</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2" w:history="1">
            <w:r w:rsidRPr="001F2B95">
              <w:rPr>
                <w:rStyle w:val="aa"/>
                <w:rFonts w:ascii="华文仿宋" w:hAnsi="华文仿宋"/>
                <w:noProof/>
              </w:rPr>
              <w:t>1.3</w:t>
            </w:r>
            <w:r w:rsidRPr="001F2B95">
              <w:rPr>
                <w:rStyle w:val="aa"/>
                <w:rFonts w:ascii="华文仿宋" w:hAnsi="华文仿宋" w:hint="eastAsia"/>
                <w:noProof/>
              </w:rPr>
              <w:t>银行理财客群风险偏好</w:t>
            </w:r>
            <w:r>
              <w:rPr>
                <w:noProof/>
                <w:webHidden/>
              </w:rPr>
              <w:tab/>
            </w:r>
            <w:r>
              <w:rPr>
                <w:noProof/>
                <w:webHidden/>
              </w:rPr>
              <w:fldChar w:fldCharType="begin"/>
            </w:r>
            <w:r>
              <w:rPr>
                <w:noProof/>
                <w:webHidden/>
              </w:rPr>
              <w:instrText xml:space="preserve"> PAGEREF _Toc20607712 \h </w:instrText>
            </w:r>
            <w:r>
              <w:rPr>
                <w:noProof/>
                <w:webHidden/>
              </w:rPr>
            </w:r>
            <w:r>
              <w:rPr>
                <w:noProof/>
                <w:webHidden/>
              </w:rPr>
              <w:fldChar w:fldCharType="separate"/>
            </w:r>
            <w:r>
              <w:rPr>
                <w:noProof/>
                <w:webHidden/>
              </w:rPr>
              <w:t>1</w:t>
            </w:r>
            <w:r>
              <w:rPr>
                <w:noProof/>
                <w:webHidden/>
              </w:rPr>
              <w:fldChar w:fldCharType="end"/>
            </w:r>
          </w:hyperlink>
        </w:p>
        <w:p w:rsidR="004D510B" w:rsidRDefault="004D510B">
          <w:pPr>
            <w:pStyle w:val="10"/>
            <w:tabs>
              <w:tab w:val="right" w:leader="dot" w:pos="8296"/>
            </w:tabs>
            <w:rPr>
              <w:rFonts w:eastAsiaTheme="minorEastAsia"/>
              <w:noProof/>
              <w:sz w:val="21"/>
            </w:rPr>
          </w:pPr>
          <w:hyperlink w:anchor="_Toc20607713" w:history="1">
            <w:r w:rsidRPr="001F2B95">
              <w:rPr>
                <w:rStyle w:val="aa"/>
                <w:rFonts w:ascii="华文仿宋" w:hAnsi="华文仿宋" w:hint="eastAsia"/>
                <w:noProof/>
              </w:rPr>
              <w:t>二、 净值化转型与体系重塑</w:t>
            </w:r>
            <w:r>
              <w:rPr>
                <w:noProof/>
                <w:webHidden/>
              </w:rPr>
              <w:tab/>
            </w:r>
            <w:r>
              <w:rPr>
                <w:noProof/>
                <w:webHidden/>
              </w:rPr>
              <w:fldChar w:fldCharType="begin"/>
            </w:r>
            <w:r>
              <w:rPr>
                <w:noProof/>
                <w:webHidden/>
              </w:rPr>
              <w:instrText xml:space="preserve"> PAGEREF _Toc20607713 \h </w:instrText>
            </w:r>
            <w:r>
              <w:rPr>
                <w:noProof/>
                <w:webHidden/>
              </w:rPr>
            </w:r>
            <w:r>
              <w:rPr>
                <w:noProof/>
                <w:webHidden/>
              </w:rPr>
              <w:fldChar w:fldCharType="separate"/>
            </w:r>
            <w:r>
              <w:rPr>
                <w:noProof/>
                <w:webHidden/>
              </w:rPr>
              <w:t>2</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4" w:history="1">
            <w:r w:rsidRPr="001F2B95">
              <w:rPr>
                <w:rStyle w:val="aa"/>
                <w:rFonts w:ascii="华文仿宋" w:hAnsi="华文仿宋"/>
                <w:noProof/>
              </w:rPr>
              <w:t>2.1</w:t>
            </w:r>
            <w:r w:rsidRPr="001F2B95">
              <w:rPr>
                <w:rStyle w:val="aa"/>
                <w:rFonts w:ascii="华文仿宋" w:hAnsi="华文仿宋" w:hint="eastAsia"/>
                <w:noProof/>
              </w:rPr>
              <w:t>银行理财净值化转型要点</w:t>
            </w:r>
            <w:r>
              <w:rPr>
                <w:noProof/>
                <w:webHidden/>
              </w:rPr>
              <w:tab/>
            </w:r>
            <w:r>
              <w:rPr>
                <w:noProof/>
                <w:webHidden/>
              </w:rPr>
              <w:fldChar w:fldCharType="begin"/>
            </w:r>
            <w:r>
              <w:rPr>
                <w:noProof/>
                <w:webHidden/>
              </w:rPr>
              <w:instrText xml:space="preserve"> PAGEREF _Toc20607714 \h </w:instrText>
            </w:r>
            <w:r>
              <w:rPr>
                <w:noProof/>
                <w:webHidden/>
              </w:rPr>
            </w:r>
            <w:r>
              <w:rPr>
                <w:noProof/>
                <w:webHidden/>
              </w:rPr>
              <w:fldChar w:fldCharType="separate"/>
            </w:r>
            <w:r>
              <w:rPr>
                <w:noProof/>
                <w:webHidden/>
              </w:rPr>
              <w:t>2</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5" w:history="1">
            <w:r w:rsidRPr="001F2B95">
              <w:rPr>
                <w:rStyle w:val="aa"/>
                <w:rFonts w:ascii="华文仿宋" w:hAnsi="华文仿宋"/>
                <w:noProof/>
              </w:rPr>
              <w:t>2.2</w:t>
            </w:r>
            <w:r w:rsidRPr="001F2B95">
              <w:rPr>
                <w:rStyle w:val="aa"/>
                <w:rFonts w:ascii="华文仿宋" w:hAnsi="华文仿宋" w:hint="eastAsia"/>
                <w:noProof/>
              </w:rPr>
              <w:t>银行理财产品创设</w:t>
            </w:r>
            <w:r>
              <w:rPr>
                <w:noProof/>
                <w:webHidden/>
              </w:rPr>
              <w:tab/>
            </w:r>
            <w:r>
              <w:rPr>
                <w:noProof/>
                <w:webHidden/>
              </w:rPr>
              <w:fldChar w:fldCharType="begin"/>
            </w:r>
            <w:r>
              <w:rPr>
                <w:noProof/>
                <w:webHidden/>
              </w:rPr>
              <w:instrText xml:space="preserve"> PAGEREF _Toc20607715 \h </w:instrText>
            </w:r>
            <w:r>
              <w:rPr>
                <w:noProof/>
                <w:webHidden/>
              </w:rPr>
            </w:r>
            <w:r>
              <w:rPr>
                <w:noProof/>
                <w:webHidden/>
              </w:rPr>
              <w:fldChar w:fldCharType="separate"/>
            </w:r>
            <w:r>
              <w:rPr>
                <w:noProof/>
                <w:webHidden/>
              </w:rPr>
              <w:t>2</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6" w:history="1">
            <w:r w:rsidRPr="001F2B95">
              <w:rPr>
                <w:rStyle w:val="aa"/>
                <w:rFonts w:ascii="华文仿宋" w:hAnsi="华文仿宋"/>
                <w:noProof/>
              </w:rPr>
              <w:t>2.3</w:t>
            </w:r>
            <w:r w:rsidRPr="001F2B95">
              <w:rPr>
                <w:rStyle w:val="aa"/>
                <w:rFonts w:ascii="华文仿宋" w:hAnsi="华文仿宋" w:hint="eastAsia"/>
                <w:noProof/>
              </w:rPr>
              <w:t>银行理财产品创设逻辑</w:t>
            </w:r>
            <w:r>
              <w:rPr>
                <w:noProof/>
                <w:webHidden/>
              </w:rPr>
              <w:tab/>
            </w:r>
            <w:r>
              <w:rPr>
                <w:noProof/>
                <w:webHidden/>
              </w:rPr>
              <w:fldChar w:fldCharType="begin"/>
            </w:r>
            <w:r>
              <w:rPr>
                <w:noProof/>
                <w:webHidden/>
              </w:rPr>
              <w:instrText xml:space="preserve"> PAGEREF _Toc20607716 \h </w:instrText>
            </w:r>
            <w:r>
              <w:rPr>
                <w:noProof/>
                <w:webHidden/>
              </w:rPr>
            </w:r>
            <w:r>
              <w:rPr>
                <w:noProof/>
                <w:webHidden/>
              </w:rPr>
              <w:fldChar w:fldCharType="separate"/>
            </w:r>
            <w:r>
              <w:rPr>
                <w:noProof/>
                <w:webHidden/>
              </w:rPr>
              <w:t>3</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7" w:history="1">
            <w:r w:rsidRPr="001F2B95">
              <w:rPr>
                <w:rStyle w:val="aa"/>
                <w:rFonts w:ascii="华文仿宋" w:hAnsi="华文仿宋"/>
                <w:noProof/>
              </w:rPr>
              <w:t>2.4</w:t>
            </w:r>
            <w:r w:rsidRPr="001F2B95">
              <w:rPr>
                <w:rStyle w:val="aa"/>
                <w:rFonts w:ascii="华文仿宋" w:hAnsi="华文仿宋" w:hint="eastAsia"/>
                <w:noProof/>
              </w:rPr>
              <w:t>投管模式：契合客户风险偏好</w:t>
            </w:r>
            <w:r>
              <w:rPr>
                <w:noProof/>
                <w:webHidden/>
              </w:rPr>
              <w:tab/>
            </w:r>
            <w:r>
              <w:rPr>
                <w:noProof/>
                <w:webHidden/>
              </w:rPr>
              <w:fldChar w:fldCharType="begin"/>
            </w:r>
            <w:r>
              <w:rPr>
                <w:noProof/>
                <w:webHidden/>
              </w:rPr>
              <w:instrText xml:space="preserve"> PAGEREF _Toc20607717 \h </w:instrText>
            </w:r>
            <w:r>
              <w:rPr>
                <w:noProof/>
                <w:webHidden/>
              </w:rPr>
            </w:r>
            <w:r>
              <w:rPr>
                <w:noProof/>
                <w:webHidden/>
              </w:rPr>
              <w:fldChar w:fldCharType="separate"/>
            </w:r>
            <w:r>
              <w:rPr>
                <w:noProof/>
                <w:webHidden/>
              </w:rPr>
              <w:t>3</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8" w:history="1">
            <w:r w:rsidRPr="001F2B95">
              <w:rPr>
                <w:rStyle w:val="aa"/>
                <w:rFonts w:ascii="华文仿宋" w:hAnsi="华文仿宋"/>
                <w:noProof/>
              </w:rPr>
              <w:t>2.5</w:t>
            </w:r>
            <w:r w:rsidRPr="001F2B95">
              <w:rPr>
                <w:rStyle w:val="aa"/>
                <w:rFonts w:ascii="华文仿宋" w:hAnsi="华文仿宋" w:hint="eastAsia"/>
                <w:noProof/>
              </w:rPr>
              <w:t>产品净值化与投资模式转型</w:t>
            </w:r>
            <w:r>
              <w:rPr>
                <w:noProof/>
                <w:webHidden/>
              </w:rPr>
              <w:tab/>
            </w:r>
            <w:r>
              <w:rPr>
                <w:noProof/>
                <w:webHidden/>
              </w:rPr>
              <w:fldChar w:fldCharType="begin"/>
            </w:r>
            <w:r>
              <w:rPr>
                <w:noProof/>
                <w:webHidden/>
              </w:rPr>
              <w:instrText xml:space="preserve"> PAGEREF _Toc20607718 \h </w:instrText>
            </w:r>
            <w:r>
              <w:rPr>
                <w:noProof/>
                <w:webHidden/>
              </w:rPr>
            </w:r>
            <w:r>
              <w:rPr>
                <w:noProof/>
                <w:webHidden/>
              </w:rPr>
              <w:fldChar w:fldCharType="separate"/>
            </w:r>
            <w:r>
              <w:rPr>
                <w:noProof/>
                <w:webHidden/>
              </w:rPr>
              <w:t>4</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19" w:history="1">
            <w:r w:rsidRPr="001F2B95">
              <w:rPr>
                <w:rStyle w:val="aa"/>
                <w:rFonts w:ascii="华文仿宋" w:hAnsi="华文仿宋"/>
                <w:noProof/>
              </w:rPr>
              <w:t>2.6</w:t>
            </w:r>
            <w:r w:rsidRPr="001F2B95">
              <w:rPr>
                <w:rStyle w:val="aa"/>
                <w:rFonts w:ascii="华文仿宋" w:hAnsi="华文仿宋" w:hint="eastAsia"/>
                <w:noProof/>
              </w:rPr>
              <w:t>投战略性和战术性资产配置相结合</w:t>
            </w:r>
            <w:r>
              <w:rPr>
                <w:noProof/>
                <w:webHidden/>
              </w:rPr>
              <w:tab/>
            </w:r>
            <w:r>
              <w:rPr>
                <w:noProof/>
                <w:webHidden/>
              </w:rPr>
              <w:fldChar w:fldCharType="begin"/>
            </w:r>
            <w:r>
              <w:rPr>
                <w:noProof/>
                <w:webHidden/>
              </w:rPr>
              <w:instrText xml:space="preserve"> PAGEREF _Toc20607719 \h </w:instrText>
            </w:r>
            <w:r>
              <w:rPr>
                <w:noProof/>
                <w:webHidden/>
              </w:rPr>
            </w:r>
            <w:r>
              <w:rPr>
                <w:noProof/>
                <w:webHidden/>
              </w:rPr>
              <w:fldChar w:fldCharType="separate"/>
            </w:r>
            <w:r>
              <w:rPr>
                <w:noProof/>
                <w:webHidden/>
              </w:rPr>
              <w:t>4</w:t>
            </w:r>
            <w:r>
              <w:rPr>
                <w:noProof/>
                <w:webHidden/>
              </w:rPr>
              <w:fldChar w:fldCharType="end"/>
            </w:r>
          </w:hyperlink>
        </w:p>
        <w:p w:rsidR="004D510B" w:rsidRDefault="004D510B">
          <w:pPr>
            <w:pStyle w:val="10"/>
            <w:tabs>
              <w:tab w:val="right" w:leader="dot" w:pos="8296"/>
            </w:tabs>
            <w:rPr>
              <w:rFonts w:eastAsiaTheme="minorEastAsia"/>
              <w:noProof/>
              <w:sz w:val="21"/>
            </w:rPr>
          </w:pPr>
          <w:hyperlink w:anchor="_Toc20607720" w:history="1">
            <w:r w:rsidRPr="001F2B95">
              <w:rPr>
                <w:rStyle w:val="aa"/>
                <w:rFonts w:ascii="华文仿宋" w:hAnsi="华文仿宋" w:hint="eastAsia"/>
                <w:noProof/>
              </w:rPr>
              <w:t>三、兴银理财转型实践</w:t>
            </w:r>
            <w:r>
              <w:rPr>
                <w:noProof/>
                <w:webHidden/>
              </w:rPr>
              <w:tab/>
            </w:r>
            <w:r>
              <w:rPr>
                <w:noProof/>
                <w:webHidden/>
              </w:rPr>
              <w:fldChar w:fldCharType="begin"/>
            </w:r>
            <w:r>
              <w:rPr>
                <w:noProof/>
                <w:webHidden/>
              </w:rPr>
              <w:instrText xml:space="preserve"> PAGEREF _Toc20607720 \h </w:instrText>
            </w:r>
            <w:r>
              <w:rPr>
                <w:noProof/>
                <w:webHidden/>
              </w:rPr>
            </w:r>
            <w:r>
              <w:rPr>
                <w:noProof/>
                <w:webHidden/>
              </w:rPr>
              <w:fldChar w:fldCharType="separate"/>
            </w:r>
            <w:r>
              <w:rPr>
                <w:noProof/>
                <w:webHidden/>
              </w:rPr>
              <w:t>5</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21" w:history="1">
            <w:r w:rsidRPr="001F2B95">
              <w:rPr>
                <w:rStyle w:val="aa"/>
                <w:rFonts w:ascii="华文仿宋" w:hAnsi="华文仿宋"/>
                <w:noProof/>
              </w:rPr>
              <w:t>3.1</w:t>
            </w:r>
            <w:r w:rsidRPr="001F2B95">
              <w:rPr>
                <w:rStyle w:val="aa"/>
                <w:rFonts w:ascii="华文仿宋" w:hAnsi="华文仿宋" w:hint="eastAsia"/>
                <w:noProof/>
              </w:rPr>
              <w:t>兴银理财产品转型成果</w:t>
            </w:r>
            <w:r>
              <w:rPr>
                <w:noProof/>
                <w:webHidden/>
              </w:rPr>
              <w:tab/>
            </w:r>
            <w:r>
              <w:rPr>
                <w:noProof/>
                <w:webHidden/>
              </w:rPr>
              <w:fldChar w:fldCharType="begin"/>
            </w:r>
            <w:r>
              <w:rPr>
                <w:noProof/>
                <w:webHidden/>
              </w:rPr>
              <w:instrText xml:space="preserve"> PAGEREF _Toc20607721 \h </w:instrText>
            </w:r>
            <w:r>
              <w:rPr>
                <w:noProof/>
                <w:webHidden/>
              </w:rPr>
            </w:r>
            <w:r>
              <w:rPr>
                <w:noProof/>
                <w:webHidden/>
              </w:rPr>
              <w:fldChar w:fldCharType="separate"/>
            </w:r>
            <w:r>
              <w:rPr>
                <w:noProof/>
                <w:webHidden/>
              </w:rPr>
              <w:t>5</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22" w:history="1">
            <w:r w:rsidRPr="001F2B95">
              <w:rPr>
                <w:rStyle w:val="aa"/>
                <w:rFonts w:ascii="华文仿宋" w:hAnsi="华文仿宋"/>
                <w:noProof/>
              </w:rPr>
              <w:t>3.2</w:t>
            </w:r>
            <w:r w:rsidRPr="001F2B95">
              <w:rPr>
                <w:rStyle w:val="aa"/>
                <w:rFonts w:ascii="华文仿宋" w:hAnsi="华文仿宋" w:hint="eastAsia"/>
                <w:noProof/>
              </w:rPr>
              <w:t>兴银理财体系建设</w:t>
            </w:r>
            <w:r>
              <w:rPr>
                <w:noProof/>
                <w:webHidden/>
              </w:rPr>
              <w:tab/>
            </w:r>
            <w:r>
              <w:rPr>
                <w:noProof/>
                <w:webHidden/>
              </w:rPr>
              <w:fldChar w:fldCharType="begin"/>
            </w:r>
            <w:r>
              <w:rPr>
                <w:noProof/>
                <w:webHidden/>
              </w:rPr>
              <w:instrText xml:space="preserve"> PAGEREF _Toc20607722 \h </w:instrText>
            </w:r>
            <w:r>
              <w:rPr>
                <w:noProof/>
                <w:webHidden/>
              </w:rPr>
            </w:r>
            <w:r>
              <w:rPr>
                <w:noProof/>
                <w:webHidden/>
              </w:rPr>
              <w:fldChar w:fldCharType="separate"/>
            </w:r>
            <w:r>
              <w:rPr>
                <w:noProof/>
                <w:webHidden/>
              </w:rPr>
              <w:t>6</w:t>
            </w:r>
            <w:r>
              <w:rPr>
                <w:noProof/>
                <w:webHidden/>
              </w:rPr>
              <w:fldChar w:fldCharType="end"/>
            </w:r>
          </w:hyperlink>
        </w:p>
        <w:p w:rsidR="004D510B" w:rsidRDefault="004D510B" w:rsidP="004D510B">
          <w:pPr>
            <w:pStyle w:val="20"/>
            <w:tabs>
              <w:tab w:val="right" w:leader="dot" w:pos="8296"/>
            </w:tabs>
            <w:ind w:left="480"/>
            <w:rPr>
              <w:rFonts w:eastAsiaTheme="minorEastAsia"/>
              <w:noProof/>
              <w:sz w:val="21"/>
            </w:rPr>
          </w:pPr>
          <w:hyperlink w:anchor="_Toc20607723" w:history="1">
            <w:r w:rsidRPr="001F2B95">
              <w:rPr>
                <w:rStyle w:val="aa"/>
                <w:rFonts w:ascii="华文仿宋" w:hAnsi="华文仿宋"/>
                <w:noProof/>
              </w:rPr>
              <w:t>3.3</w:t>
            </w:r>
            <w:r w:rsidRPr="001F2B95">
              <w:rPr>
                <w:rStyle w:val="aa"/>
                <w:rFonts w:ascii="华文仿宋" w:hAnsi="华文仿宋" w:hint="eastAsia"/>
                <w:noProof/>
              </w:rPr>
              <w:t>兴银理财与母体融合发展机制</w:t>
            </w:r>
            <w:r>
              <w:rPr>
                <w:noProof/>
                <w:webHidden/>
              </w:rPr>
              <w:tab/>
            </w:r>
            <w:r>
              <w:rPr>
                <w:noProof/>
                <w:webHidden/>
              </w:rPr>
              <w:fldChar w:fldCharType="begin"/>
            </w:r>
            <w:r>
              <w:rPr>
                <w:noProof/>
                <w:webHidden/>
              </w:rPr>
              <w:instrText xml:space="preserve"> PAGEREF _Toc20607723 \h </w:instrText>
            </w:r>
            <w:r>
              <w:rPr>
                <w:noProof/>
                <w:webHidden/>
              </w:rPr>
            </w:r>
            <w:r>
              <w:rPr>
                <w:noProof/>
                <w:webHidden/>
              </w:rPr>
              <w:fldChar w:fldCharType="separate"/>
            </w:r>
            <w:r>
              <w:rPr>
                <w:noProof/>
                <w:webHidden/>
              </w:rPr>
              <w:t>6</w:t>
            </w:r>
            <w:r>
              <w:rPr>
                <w:noProof/>
                <w:webHidden/>
              </w:rPr>
              <w:fldChar w:fldCharType="end"/>
            </w:r>
          </w:hyperlink>
        </w:p>
        <w:p w:rsidR="001000F9" w:rsidRDefault="001000F9">
          <w:pPr>
            <w:rPr>
              <w:rFonts w:ascii="华文仿宋" w:hAnsi="华文仿宋"/>
              <w:szCs w:val="24"/>
            </w:rPr>
          </w:pPr>
          <w:r>
            <w:rPr>
              <w:rFonts w:ascii="Times New Roman" w:hAnsi="Times New Roman" w:cs="Times New Roman"/>
              <w:bCs/>
              <w:szCs w:val="24"/>
              <w:lang w:val="zh-CN"/>
            </w:rPr>
            <w:fldChar w:fldCharType="end"/>
          </w:r>
        </w:p>
      </w:sdtContent>
    </w:sdt>
    <w:p w:rsidR="001000F9" w:rsidRDefault="001000F9">
      <w:pPr>
        <w:sectPr w:rsidR="001000F9">
          <w:headerReference w:type="default" r:id="rId11"/>
          <w:footerReference w:type="default" r:id="rId12"/>
          <w:pgSz w:w="11906" w:h="16838"/>
          <w:pgMar w:top="1440" w:right="1800" w:bottom="1440" w:left="1800" w:header="851" w:footer="992" w:gutter="0"/>
          <w:cols w:space="425"/>
          <w:docGrid w:type="lines" w:linePitch="312"/>
        </w:sectPr>
      </w:pPr>
      <w:bookmarkStart w:id="0" w:name="_GoBack"/>
      <w:bookmarkEnd w:id="0"/>
    </w:p>
    <w:p w:rsidR="001000F9" w:rsidRDefault="00627C6D">
      <w:pPr>
        <w:pStyle w:val="1"/>
        <w:rPr>
          <w:rFonts w:ascii="华文仿宋" w:eastAsia="华文仿宋" w:hAnsi="华文仿宋"/>
        </w:rPr>
      </w:pPr>
      <w:bookmarkStart w:id="1" w:name="_Toc20607709"/>
      <w:r>
        <w:rPr>
          <w:rFonts w:hint="eastAsia"/>
        </w:rPr>
        <w:lastRenderedPageBreak/>
        <w:t>一、</w:t>
      </w:r>
      <w:r>
        <w:rPr>
          <w:rFonts w:ascii="华文仿宋" w:eastAsia="华文仿宋" w:hAnsi="华文仿宋" w:hint="eastAsia"/>
        </w:rPr>
        <w:t>银行理财客户基础与特点</w:t>
      </w:r>
      <w:bookmarkEnd w:id="1"/>
    </w:p>
    <w:p w:rsidR="001000F9" w:rsidRDefault="00627C6D">
      <w:pPr>
        <w:pStyle w:val="2"/>
        <w:rPr>
          <w:rFonts w:ascii="华文仿宋" w:eastAsia="华文仿宋" w:hAnsi="华文仿宋"/>
        </w:rPr>
      </w:pPr>
      <w:bookmarkStart w:id="2" w:name="_Toc20607710"/>
      <w:r>
        <w:rPr>
          <w:rFonts w:ascii="华文仿宋" w:eastAsia="华文仿宋" w:hAnsi="华文仿宋" w:hint="eastAsia"/>
        </w:rPr>
        <w:t>1.1</w:t>
      </w:r>
      <w:r>
        <w:rPr>
          <w:rFonts w:ascii="华文仿宋" w:eastAsia="华文仿宋" w:hAnsi="华文仿宋" w:hint="eastAsia"/>
        </w:rPr>
        <w:t>理财规模稳定</w:t>
      </w:r>
      <w:r>
        <w:rPr>
          <w:rFonts w:ascii="华文仿宋" w:eastAsia="华文仿宋" w:hAnsi="华文仿宋" w:hint="eastAsia"/>
        </w:rPr>
        <w:t>，</w:t>
      </w:r>
      <w:r>
        <w:rPr>
          <w:rFonts w:ascii="华文仿宋" w:eastAsia="华文仿宋" w:hAnsi="华文仿宋" w:hint="eastAsia"/>
        </w:rPr>
        <w:t>集中度提高</w:t>
      </w:r>
      <w:bookmarkEnd w:id="2"/>
    </w:p>
    <w:p w:rsidR="001000F9" w:rsidRDefault="00627C6D">
      <w:pPr>
        <w:ind w:firstLineChars="200" w:firstLine="480"/>
        <w:rPr>
          <w:rFonts w:ascii="华文仿宋" w:hAnsi="华文仿宋"/>
          <w:bCs/>
        </w:rPr>
      </w:pPr>
      <w:r>
        <w:rPr>
          <w:rFonts w:ascii="华文仿宋" w:hAnsi="华文仿宋" w:hint="eastAsia"/>
          <w:bCs/>
        </w:rPr>
        <w:t>根据银行业理财登记托管中心和中国银行业协会发布的《中国银行业理财市场报告（</w:t>
      </w:r>
      <w:r>
        <w:rPr>
          <w:rFonts w:ascii="华文仿宋" w:hAnsi="华文仿宋" w:hint="eastAsia"/>
          <w:bCs/>
        </w:rPr>
        <w:t>2018</w:t>
      </w:r>
      <w:r>
        <w:rPr>
          <w:rFonts w:ascii="华文仿宋" w:hAnsi="华文仿宋" w:hint="eastAsia"/>
          <w:bCs/>
        </w:rPr>
        <w:t>年）》，截至</w:t>
      </w:r>
      <w:r>
        <w:rPr>
          <w:rFonts w:ascii="华文仿宋" w:hAnsi="华文仿宋" w:hint="eastAsia"/>
          <w:bCs/>
        </w:rPr>
        <w:t>2018</w:t>
      </w:r>
      <w:r>
        <w:rPr>
          <w:rFonts w:ascii="华文仿宋" w:hAnsi="华文仿宋" w:hint="eastAsia"/>
          <w:bCs/>
        </w:rPr>
        <w:t>年底，全国共有</w:t>
      </w:r>
      <w:r>
        <w:rPr>
          <w:rFonts w:ascii="华文仿宋" w:hAnsi="华文仿宋" w:hint="eastAsia"/>
          <w:bCs/>
        </w:rPr>
        <w:t>403</w:t>
      </w:r>
      <w:r>
        <w:rPr>
          <w:rFonts w:ascii="华文仿宋" w:hAnsi="华文仿宋" w:hint="eastAsia"/>
          <w:bCs/>
        </w:rPr>
        <w:t>家银行业金融机构有存续的非保本理财产品，理财产品</w:t>
      </w:r>
      <w:r>
        <w:rPr>
          <w:rFonts w:ascii="华文仿宋" w:hAnsi="华文仿宋" w:hint="eastAsia"/>
          <w:bCs/>
        </w:rPr>
        <w:t>4.8</w:t>
      </w:r>
      <w:r>
        <w:rPr>
          <w:rFonts w:ascii="华文仿宋" w:hAnsi="华文仿宋" w:hint="eastAsia"/>
          <w:bCs/>
        </w:rPr>
        <w:t>万只，存续余额</w:t>
      </w:r>
      <w:r>
        <w:rPr>
          <w:rFonts w:ascii="华文仿宋" w:hAnsi="华文仿宋" w:hint="eastAsia"/>
          <w:bCs/>
        </w:rPr>
        <w:t>22.04</w:t>
      </w:r>
      <w:r>
        <w:rPr>
          <w:rFonts w:ascii="华文仿宋" w:hAnsi="华文仿宋" w:hint="eastAsia"/>
          <w:bCs/>
        </w:rPr>
        <w:t>万亿元，与</w:t>
      </w:r>
      <w:r>
        <w:rPr>
          <w:rFonts w:ascii="华文仿宋" w:hAnsi="华文仿宋" w:hint="eastAsia"/>
          <w:bCs/>
        </w:rPr>
        <w:t>2017</w:t>
      </w:r>
      <w:r>
        <w:rPr>
          <w:rFonts w:ascii="华文仿宋" w:hAnsi="华文仿宋" w:hint="eastAsia"/>
          <w:bCs/>
        </w:rPr>
        <w:t>年底基本持平。在“资管新规”“理财新规”发布后，银行理财产品余额总体平稳，未出现大幅波动。</w:t>
      </w:r>
    </w:p>
    <w:p w:rsidR="001000F9" w:rsidRDefault="00627C6D">
      <w:pPr>
        <w:ind w:firstLineChars="200" w:firstLine="480"/>
        <w:rPr>
          <w:rFonts w:ascii="华文仿宋" w:hAnsi="华文仿宋"/>
          <w:bCs/>
        </w:rPr>
      </w:pPr>
      <w:r>
        <w:rPr>
          <w:rFonts w:ascii="华文仿宋" w:hAnsi="华文仿宋" w:hint="eastAsia"/>
          <w:b/>
        </w:rPr>
        <w:t>（</w:t>
      </w:r>
      <w:r>
        <w:rPr>
          <w:rFonts w:ascii="华文仿宋" w:hAnsi="华文仿宋" w:hint="eastAsia"/>
          <w:b/>
        </w:rPr>
        <w:t>1</w:t>
      </w:r>
      <w:r>
        <w:rPr>
          <w:rFonts w:ascii="华文仿宋" w:hAnsi="华文仿宋" w:hint="eastAsia"/>
          <w:b/>
        </w:rPr>
        <w:t>）去通道导致行业规模瘦身。</w:t>
      </w:r>
      <w:r>
        <w:rPr>
          <w:rFonts w:ascii="华文仿宋" w:hAnsi="华文仿宋" w:hint="eastAsia"/>
          <w:bCs/>
        </w:rPr>
        <w:t>2018</w:t>
      </w:r>
      <w:r>
        <w:rPr>
          <w:rFonts w:ascii="华文仿宋" w:hAnsi="华文仿宋" w:hint="eastAsia"/>
          <w:bCs/>
        </w:rPr>
        <w:t>年三季度末，</w:t>
      </w:r>
      <w:r>
        <w:rPr>
          <w:rFonts w:ascii="华文仿宋" w:hAnsi="华文仿宋" w:hint="eastAsia"/>
          <w:bCs/>
        </w:rPr>
        <w:t>券商资管、信托公司、基金子公司规模</w:t>
      </w:r>
      <w:r>
        <w:rPr>
          <w:rFonts w:ascii="华文仿宋" w:hAnsi="华文仿宋" w:hint="eastAsia"/>
          <w:bCs/>
        </w:rPr>
        <w:t>分别较</w:t>
      </w:r>
      <w:r>
        <w:rPr>
          <w:rFonts w:ascii="华文仿宋" w:hAnsi="华文仿宋" w:hint="eastAsia"/>
          <w:bCs/>
        </w:rPr>
        <w:t>2017</w:t>
      </w:r>
      <w:r>
        <w:rPr>
          <w:rFonts w:ascii="华文仿宋" w:hAnsi="华文仿宋" w:hint="eastAsia"/>
          <w:bCs/>
        </w:rPr>
        <w:t>年末下降</w:t>
      </w:r>
      <w:r>
        <w:rPr>
          <w:rFonts w:ascii="华文仿宋" w:hAnsi="华文仿宋" w:hint="eastAsia"/>
          <w:bCs/>
        </w:rPr>
        <w:t>16%</w:t>
      </w:r>
      <w:r>
        <w:rPr>
          <w:rFonts w:ascii="华文仿宋" w:hAnsi="华文仿宋" w:hint="eastAsia"/>
          <w:bCs/>
        </w:rPr>
        <w:t>、</w:t>
      </w:r>
      <w:r>
        <w:rPr>
          <w:rFonts w:ascii="华文仿宋" w:hAnsi="华文仿宋" w:hint="eastAsia"/>
          <w:bCs/>
        </w:rPr>
        <w:t>11.05%</w:t>
      </w:r>
      <w:r>
        <w:rPr>
          <w:rFonts w:ascii="华文仿宋" w:hAnsi="华文仿宋" w:hint="eastAsia"/>
          <w:bCs/>
        </w:rPr>
        <w:t>和</w:t>
      </w:r>
      <w:r>
        <w:rPr>
          <w:rFonts w:ascii="华文仿宋" w:hAnsi="华文仿宋" w:hint="eastAsia"/>
          <w:bCs/>
        </w:rPr>
        <w:t>22.98%</w:t>
      </w:r>
      <w:r>
        <w:rPr>
          <w:rFonts w:ascii="华文仿宋" w:hAnsi="华文仿宋" w:hint="eastAsia"/>
          <w:bCs/>
        </w:rPr>
        <w:t>。</w:t>
      </w:r>
    </w:p>
    <w:p w:rsidR="001000F9" w:rsidRDefault="00627C6D">
      <w:pPr>
        <w:ind w:firstLineChars="200" w:firstLine="480"/>
        <w:rPr>
          <w:rFonts w:ascii="华文仿宋" w:hAnsi="华文仿宋"/>
          <w:bCs/>
        </w:rPr>
      </w:pPr>
      <w:r>
        <w:rPr>
          <w:rFonts w:ascii="华文仿宋" w:hAnsi="华文仿宋" w:hint="eastAsia"/>
          <w:b/>
        </w:rPr>
        <w:t>（</w:t>
      </w:r>
      <w:r>
        <w:rPr>
          <w:rFonts w:ascii="华文仿宋" w:hAnsi="华文仿宋" w:hint="eastAsia"/>
          <w:b/>
        </w:rPr>
        <w:t>2</w:t>
      </w:r>
      <w:r>
        <w:rPr>
          <w:rFonts w:ascii="华文仿宋" w:hAnsi="华文仿宋" w:hint="eastAsia"/>
          <w:b/>
        </w:rPr>
        <w:t>）银行理财规模总体保持平稳，集中度提高。</w:t>
      </w:r>
      <w:r>
        <w:rPr>
          <w:rFonts w:ascii="华文仿宋" w:hAnsi="华文仿宋" w:hint="eastAsia"/>
          <w:bCs/>
        </w:rPr>
        <w:t>头部企业在逐渐</w:t>
      </w:r>
      <w:r>
        <w:rPr>
          <w:rFonts w:ascii="华文仿宋" w:hAnsi="华文仿宋" w:hint="eastAsia"/>
          <w:bCs/>
        </w:rPr>
        <w:t>显山露水，全国性银行的理财规模快速增长，客户结构也在发生变化，逐步显示出头部特征。</w:t>
      </w:r>
    </w:p>
    <w:p w:rsidR="001000F9" w:rsidRDefault="001000F9">
      <w:pPr>
        <w:rPr>
          <w:rFonts w:ascii="华文仿宋" w:hAnsi="华文仿宋"/>
          <w:bCs/>
        </w:rPr>
      </w:pPr>
    </w:p>
    <w:p w:rsidR="001000F9" w:rsidRDefault="00627C6D">
      <w:pPr>
        <w:pStyle w:val="2"/>
        <w:rPr>
          <w:rFonts w:ascii="华文仿宋" w:hAnsi="华文仿宋"/>
          <w:sz w:val="22"/>
        </w:rPr>
      </w:pPr>
      <w:bookmarkStart w:id="3" w:name="_Toc20607711"/>
      <w:r>
        <w:rPr>
          <w:rFonts w:ascii="华文仿宋" w:eastAsia="华文仿宋" w:hAnsi="华文仿宋" w:hint="eastAsia"/>
        </w:rPr>
        <w:t>1.2</w:t>
      </w:r>
      <w:r>
        <w:rPr>
          <w:rFonts w:ascii="华文仿宋" w:eastAsia="华文仿宋" w:hAnsi="华文仿宋" w:hint="eastAsia"/>
        </w:rPr>
        <w:t>财富总量增长与理财配置刚需</w:t>
      </w:r>
      <w:bookmarkEnd w:id="3"/>
    </w:p>
    <w:p w:rsidR="001000F9" w:rsidRDefault="00627C6D">
      <w:pPr>
        <w:ind w:firstLineChars="200" w:firstLine="480"/>
        <w:rPr>
          <w:rFonts w:ascii="华文仿宋" w:hAnsi="华文仿宋"/>
          <w:bCs/>
        </w:rPr>
      </w:pPr>
      <w:r>
        <w:rPr>
          <w:rFonts w:ascii="华文仿宋" w:hAnsi="华文仿宋" w:hint="eastAsia"/>
          <w:bCs/>
        </w:rPr>
        <w:t>我国居民财富快速增长，</w:t>
      </w:r>
      <w:r>
        <w:rPr>
          <w:rFonts w:ascii="华文仿宋" w:hAnsi="华文仿宋" w:hint="eastAsia"/>
          <w:bCs/>
        </w:rPr>
        <w:t>2017</w:t>
      </w:r>
      <w:r>
        <w:rPr>
          <w:rFonts w:ascii="华文仿宋" w:hAnsi="华文仿宋" w:hint="eastAsia"/>
          <w:bCs/>
        </w:rPr>
        <w:t>年个人财富规模已达</w:t>
      </w:r>
      <w:r>
        <w:rPr>
          <w:rFonts w:ascii="华文仿宋" w:hAnsi="华文仿宋" w:hint="eastAsia"/>
          <w:bCs/>
        </w:rPr>
        <w:t>115</w:t>
      </w:r>
      <w:r>
        <w:rPr>
          <w:rFonts w:ascii="华文仿宋" w:hAnsi="华文仿宋" w:hint="eastAsia"/>
          <w:bCs/>
        </w:rPr>
        <w:t>万亿元。个人财富增长的同时，但金融资产的配置比例却偏低，且与国外市场比较存有较大差距，国内资管行业存有较大的业务发展空间。</w:t>
      </w:r>
    </w:p>
    <w:p w:rsidR="001000F9" w:rsidRDefault="001000F9">
      <w:pPr>
        <w:rPr>
          <w:rFonts w:ascii="华文仿宋" w:hAnsi="华文仿宋"/>
          <w:bCs/>
          <w:color w:val="0000FF"/>
        </w:rPr>
      </w:pPr>
    </w:p>
    <w:p w:rsidR="001000F9" w:rsidRDefault="00627C6D">
      <w:pPr>
        <w:pStyle w:val="2"/>
        <w:rPr>
          <w:rFonts w:ascii="华文仿宋" w:eastAsia="华文仿宋" w:hAnsi="华文仿宋"/>
        </w:rPr>
      </w:pPr>
      <w:bookmarkStart w:id="4" w:name="_Toc20607712"/>
      <w:r>
        <w:rPr>
          <w:rFonts w:ascii="华文仿宋" w:eastAsia="华文仿宋" w:hAnsi="华文仿宋" w:hint="eastAsia"/>
        </w:rPr>
        <w:t>1</w:t>
      </w:r>
      <w:r>
        <w:rPr>
          <w:rFonts w:ascii="华文仿宋" w:eastAsia="华文仿宋" w:hAnsi="华文仿宋"/>
        </w:rPr>
        <w:t>.</w:t>
      </w:r>
      <w:r>
        <w:rPr>
          <w:rFonts w:ascii="华文仿宋" w:eastAsia="华文仿宋" w:hAnsi="华文仿宋" w:hint="eastAsia"/>
        </w:rPr>
        <w:t>3</w:t>
      </w:r>
      <w:r>
        <w:rPr>
          <w:rFonts w:ascii="华文仿宋" w:eastAsia="华文仿宋" w:hAnsi="华文仿宋" w:hint="eastAsia"/>
        </w:rPr>
        <w:t>银行理财客群风险偏好</w:t>
      </w:r>
      <w:bookmarkEnd w:id="4"/>
    </w:p>
    <w:p w:rsidR="001000F9" w:rsidRDefault="00627C6D">
      <w:pPr>
        <w:ind w:firstLineChars="200" w:firstLine="480"/>
        <w:rPr>
          <w:rFonts w:ascii="华文仿宋" w:hAnsi="华文仿宋"/>
          <w:bCs/>
          <w:color w:val="0000FF"/>
        </w:rPr>
      </w:pPr>
      <w:r>
        <w:rPr>
          <w:rFonts w:ascii="华文仿宋" w:hAnsi="华文仿宋" w:hint="eastAsia"/>
          <w:bCs/>
        </w:rPr>
        <w:t>在客户结构以个人</w:t>
      </w:r>
      <w:r>
        <w:rPr>
          <w:rFonts w:ascii="华文仿宋" w:hAnsi="华文仿宋" w:hint="eastAsia"/>
          <w:bCs/>
        </w:rPr>
        <w:t>投资者</w:t>
      </w:r>
      <w:r>
        <w:rPr>
          <w:rFonts w:ascii="华文仿宋" w:hAnsi="华文仿宋" w:hint="eastAsia"/>
          <w:bCs/>
        </w:rPr>
        <w:t>为主的国情下，客户资产配置理念总体以保守稳健为主，投资者对于本金保障有较强预期，对波动敏感。</w:t>
      </w:r>
      <w:r>
        <w:rPr>
          <w:rFonts w:ascii="华文仿宋" w:hAnsi="华文仿宋" w:hint="eastAsia"/>
          <w:bCs/>
        </w:rPr>
        <w:t>按产品特征统计，低风险、短期限占比非常高。</w:t>
      </w:r>
    </w:p>
    <w:p w:rsidR="001000F9" w:rsidRDefault="00627C6D">
      <w:pPr>
        <w:pStyle w:val="1"/>
        <w:numPr>
          <w:ilvl w:val="0"/>
          <w:numId w:val="1"/>
        </w:numPr>
        <w:rPr>
          <w:rFonts w:ascii="华文仿宋" w:eastAsia="华文仿宋" w:hAnsi="华文仿宋"/>
        </w:rPr>
      </w:pPr>
      <w:bookmarkStart w:id="5" w:name="_Toc20607713"/>
      <w:r>
        <w:rPr>
          <w:rFonts w:ascii="华文仿宋" w:eastAsia="华文仿宋" w:hAnsi="华文仿宋" w:hint="eastAsia"/>
        </w:rPr>
        <w:lastRenderedPageBreak/>
        <w:t>净值化转型与体系重塑</w:t>
      </w:r>
      <w:bookmarkEnd w:id="5"/>
    </w:p>
    <w:p w:rsidR="001000F9" w:rsidRDefault="00627C6D">
      <w:pPr>
        <w:ind w:firstLineChars="200" w:firstLine="480"/>
      </w:pPr>
      <w:r>
        <w:rPr>
          <w:rFonts w:hint="eastAsia"/>
        </w:rPr>
        <w:t>首先</w:t>
      </w:r>
      <w:r>
        <w:rPr>
          <w:rFonts w:hint="eastAsia"/>
        </w:rPr>
        <w:t>要明确转型的出发点——客户需求，要清楚客户的需求在哪些方面，从客户端出发做好产品设计。而面对投资模式的转变（由资金池、非标准化模式转变为标准化模式），要从产品</w:t>
      </w:r>
      <w:r w:rsidR="005E4A2C">
        <w:rPr>
          <w:rFonts w:hint="eastAsia"/>
        </w:rPr>
        <w:t>结构</w:t>
      </w:r>
      <w:r>
        <w:rPr>
          <w:rFonts w:hint="eastAsia"/>
        </w:rPr>
        <w:t>层面考虑如何创</w:t>
      </w:r>
      <w:r w:rsidR="005E4A2C">
        <w:rPr>
          <w:rFonts w:hint="eastAsia"/>
        </w:rPr>
        <w:t>设</w:t>
      </w:r>
      <w:r>
        <w:rPr>
          <w:rFonts w:hint="eastAsia"/>
        </w:rPr>
        <w:t>，比如产品期限、波动性、收益预期等。</w:t>
      </w:r>
    </w:p>
    <w:p w:rsidR="001000F9" w:rsidRPr="005E4A2C" w:rsidRDefault="001000F9"/>
    <w:p w:rsidR="001000F9" w:rsidRDefault="00627C6D">
      <w:pPr>
        <w:pStyle w:val="2"/>
        <w:rPr>
          <w:rFonts w:ascii="华文仿宋" w:eastAsia="华文仿宋" w:hAnsi="华文仿宋"/>
        </w:rPr>
      </w:pPr>
      <w:bookmarkStart w:id="6" w:name="_Toc20607714"/>
      <w:r>
        <w:rPr>
          <w:rFonts w:ascii="华文仿宋" w:eastAsia="华文仿宋" w:hAnsi="华文仿宋" w:hint="eastAsia"/>
        </w:rPr>
        <w:t>2.1</w:t>
      </w:r>
      <w:r>
        <w:rPr>
          <w:rFonts w:ascii="华文仿宋" w:eastAsia="华文仿宋" w:hAnsi="华文仿宋" w:hint="eastAsia"/>
        </w:rPr>
        <w:t>银行理财净值化转型要点</w:t>
      </w:r>
      <w:bookmarkEnd w:id="6"/>
    </w:p>
    <w:p w:rsidR="001000F9" w:rsidRDefault="00627C6D">
      <w:pPr>
        <w:ind w:firstLineChars="200" w:firstLine="480"/>
        <w:rPr>
          <w:rFonts w:ascii="华文仿宋" w:hAnsi="华文仿宋"/>
        </w:rPr>
      </w:pPr>
      <w:r>
        <w:rPr>
          <w:rFonts w:ascii="华文仿宋" w:hAnsi="华文仿宋" w:hint="eastAsia"/>
        </w:rPr>
        <w:t>理财净值化转型，需要实现客户对收益性、流动性、风险性的平衡</w:t>
      </w:r>
    </w:p>
    <w:p w:rsidR="001000F9" w:rsidRDefault="00627C6D">
      <w:pPr>
        <w:rPr>
          <w:rFonts w:ascii="华文仿宋" w:hAnsi="华文仿宋"/>
        </w:rPr>
      </w:pPr>
      <w:r>
        <w:rPr>
          <w:rFonts w:ascii="华文仿宋" w:hAnsi="华文仿宋" w:hint="eastAsia"/>
          <w:bCs/>
          <w:sz w:val="22"/>
        </w:rPr>
        <w:t>图表</w:t>
      </w:r>
      <w:r>
        <w:rPr>
          <w:rFonts w:ascii="华文仿宋" w:hAnsi="华文仿宋" w:hint="eastAsia"/>
          <w:bCs/>
          <w:sz w:val="22"/>
        </w:rPr>
        <w:t>1</w:t>
      </w:r>
      <w:r>
        <w:rPr>
          <w:rFonts w:ascii="华文仿宋" w:hAnsi="华文仿宋" w:hint="eastAsia"/>
          <w:bCs/>
          <w:sz w:val="22"/>
        </w:rPr>
        <w:t>：银行理财净值化转型要点</w:t>
      </w:r>
    </w:p>
    <w:p w:rsidR="001000F9" w:rsidRDefault="00627C6D">
      <w:pPr>
        <w:jc w:val="center"/>
      </w:pPr>
      <w:r>
        <w:rPr>
          <w:noProof/>
        </w:rPr>
        <w:drawing>
          <wp:inline distT="0" distB="0" distL="114300" distR="114300">
            <wp:extent cx="4281805" cy="2541270"/>
            <wp:effectExtent l="0" t="0" r="4445" b="1143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3"/>
                    <a:stretch>
                      <a:fillRect/>
                    </a:stretch>
                  </pic:blipFill>
                  <pic:spPr>
                    <a:xfrm>
                      <a:off x="0" y="0"/>
                      <a:ext cx="4281805" cy="2541270"/>
                    </a:xfrm>
                    <a:prstGeom prst="rect">
                      <a:avLst/>
                    </a:prstGeom>
                    <a:noFill/>
                    <a:ln>
                      <a:noFill/>
                    </a:ln>
                  </pic:spPr>
                </pic:pic>
              </a:graphicData>
            </a:graphic>
          </wp:inline>
        </w:drawing>
      </w:r>
    </w:p>
    <w:p w:rsidR="001000F9" w:rsidRDefault="001000F9"/>
    <w:p w:rsidR="001000F9" w:rsidRDefault="00627C6D">
      <w:pPr>
        <w:pStyle w:val="2"/>
        <w:rPr>
          <w:rFonts w:ascii="华文仿宋" w:eastAsia="华文仿宋" w:hAnsi="华文仿宋"/>
        </w:rPr>
      </w:pPr>
      <w:bookmarkStart w:id="7" w:name="_Toc20607715"/>
      <w:r>
        <w:rPr>
          <w:rFonts w:ascii="华文仿宋" w:eastAsia="华文仿宋" w:hAnsi="华文仿宋" w:hint="eastAsia"/>
        </w:rPr>
        <w:t>2.2</w:t>
      </w:r>
      <w:r>
        <w:rPr>
          <w:rFonts w:ascii="华文仿宋" w:eastAsia="华文仿宋" w:hAnsi="华文仿宋" w:hint="eastAsia"/>
        </w:rPr>
        <w:t>银行理财产品创设</w:t>
      </w:r>
      <w:bookmarkEnd w:id="7"/>
    </w:p>
    <w:p w:rsidR="001000F9" w:rsidRDefault="00627C6D">
      <w:pPr>
        <w:ind w:firstLineChars="200" w:firstLine="480"/>
        <w:rPr>
          <w:rFonts w:ascii="华文仿宋" w:hAnsi="华文仿宋"/>
        </w:rPr>
      </w:pPr>
      <w:r>
        <w:rPr>
          <w:rFonts w:ascii="华文仿宋" w:hAnsi="华文仿宋" w:hint="eastAsia"/>
        </w:rPr>
        <w:t>未来银行理财作为专业的资管机构，应定位于为客户赚取绝对收益为主要目标，建立多层次的产品体系以满足不同客户需求，</w:t>
      </w:r>
      <w:r>
        <w:rPr>
          <w:rFonts w:ascii="华文仿宋" w:hAnsi="华文仿宋" w:hint="eastAsia"/>
        </w:rPr>
        <w:t>并要结合</w:t>
      </w:r>
      <w:r w:rsidR="005E4A2C">
        <w:rPr>
          <w:rFonts w:ascii="华文仿宋" w:hAnsi="华文仿宋" w:hint="eastAsia"/>
        </w:rPr>
        <w:t>资金</w:t>
      </w:r>
      <w:r>
        <w:rPr>
          <w:rFonts w:ascii="华文仿宋" w:hAnsi="华文仿宋" w:hint="eastAsia"/>
        </w:rPr>
        <w:t>期限</w:t>
      </w:r>
      <w:r w:rsidR="005E4A2C">
        <w:rPr>
          <w:rFonts w:ascii="华文仿宋" w:hAnsi="华文仿宋" w:hint="eastAsia"/>
        </w:rPr>
        <w:t>等因素匹配相应的投资策略</w:t>
      </w:r>
      <w:r>
        <w:rPr>
          <w:rFonts w:ascii="华文仿宋" w:hAnsi="华文仿宋" w:hint="eastAsia"/>
        </w:rPr>
        <w:t>提高绝对收益水平</w:t>
      </w:r>
      <w:r>
        <w:rPr>
          <w:rFonts w:ascii="华文仿宋" w:hAnsi="华文仿宋" w:hint="eastAsia"/>
        </w:rPr>
        <w:t>。</w:t>
      </w:r>
    </w:p>
    <w:p w:rsidR="001000F9" w:rsidRDefault="00627C6D">
      <w:r>
        <w:rPr>
          <w:noProof/>
        </w:rPr>
        <w:lastRenderedPageBreak/>
        <w:drawing>
          <wp:inline distT="0" distB="0" distL="114300" distR="114300">
            <wp:extent cx="5270500" cy="2839720"/>
            <wp:effectExtent l="0" t="0" r="6350" b="1778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4"/>
                    <a:stretch>
                      <a:fillRect/>
                    </a:stretch>
                  </pic:blipFill>
                  <pic:spPr>
                    <a:xfrm>
                      <a:off x="0" y="0"/>
                      <a:ext cx="5270500" cy="2839720"/>
                    </a:xfrm>
                    <a:prstGeom prst="rect">
                      <a:avLst/>
                    </a:prstGeom>
                    <a:noFill/>
                    <a:ln>
                      <a:noFill/>
                    </a:ln>
                  </pic:spPr>
                </pic:pic>
              </a:graphicData>
            </a:graphic>
          </wp:inline>
        </w:drawing>
      </w:r>
    </w:p>
    <w:p w:rsidR="001000F9" w:rsidRDefault="001000F9"/>
    <w:p w:rsidR="001000F9" w:rsidRDefault="00627C6D">
      <w:pPr>
        <w:pStyle w:val="2"/>
        <w:rPr>
          <w:rFonts w:ascii="华文仿宋" w:eastAsia="华文仿宋" w:hAnsi="华文仿宋"/>
        </w:rPr>
      </w:pPr>
      <w:bookmarkStart w:id="8" w:name="_Toc20607716"/>
      <w:r>
        <w:rPr>
          <w:rFonts w:ascii="华文仿宋" w:eastAsia="华文仿宋" w:hAnsi="华文仿宋" w:hint="eastAsia"/>
        </w:rPr>
        <w:t>2.3</w:t>
      </w:r>
      <w:r>
        <w:rPr>
          <w:rFonts w:ascii="华文仿宋" w:eastAsia="华文仿宋" w:hAnsi="华文仿宋" w:hint="eastAsia"/>
        </w:rPr>
        <w:t>银行理财产品创设逻辑</w:t>
      </w:r>
      <w:bookmarkEnd w:id="8"/>
    </w:p>
    <w:p w:rsidR="001000F9" w:rsidRDefault="005D0E4F">
      <w:pPr>
        <w:ind w:firstLineChars="200" w:firstLine="480"/>
        <w:rPr>
          <w:rFonts w:ascii="华文仿宋" w:hAnsi="华文仿宋"/>
          <w:color w:val="0000FF"/>
        </w:rPr>
      </w:pPr>
      <w:r>
        <w:rPr>
          <w:rFonts w:ascii="华文仿宋" w:hAnsi="华文仿宋" w:hint="eastAsia"/>
          <w:b/>
          <w:bCs/>
        </w:rPr>
        <w:t>传统的做法，是</w:t>
      </w:r>
      <w:r w:rsidR="00627C6D">
        <w:rPr>
          <w:rFonts w:ascii="华文仿宋" w:hAnsi="华文仿宋" w:hint="eastAsia"/>
          <w:b/>
          <w:bCs/>
        </w:rPr>
        <w:t>从市场研判出发，创设相应产品，自上而下推介给客户。</w:t>
      </w:r>
      <w:r w:rsidRPr="005D0E4F">
        <w:rPr>
          <w:rFonts w:ascii="华文仿宋" w:hAnsi="华文仿宋" w:hint="eastAsia"/>
          <w:bCs/>
        </w:rPr>
        <w:t>但是，对于银行理财净值化转型，要</w:t>
      </w:r>
      <w:r w:rsidR="00627C6D">
        <w:rPr>
          <w:rFonts w:ascii="华文仿宋" w:hAnsi="华文仿宋" w:hint="eastAsia"/>
          <w:b/>
          <w:bCs/>
        </w:rPr>
        <w:t>从客户需求出发，自下而上创设产品，开展资产配置。</w:t>
      </w:r>
      <w:r w:rsidR="00627C6D">
        <w:rPr>
          <w:rFonts w:ascii="华文仿宋" w:hAnsi="华文仿宋" w:hint="eastAsia"/>
        </w:rPr>
        <w:t>新的产品创设一定是从客户的需求出发，考虑客户的投资习惯，客户投资的期限要求，做相应资产设置的时候，需要考虑产品的波动和产品规模的关系，以及产品背后资产的流动性。</w:t>
      </w:r>
    </w:p>
    <w:p w:rsidR="001000F9" w:rsidRDefault="001000F9">
      <w:pPr>
        <w:rPr>
          <w:rFonts w:ascii="华文仿宋" w:hAnsi="华文仿宋"/>
          <w:color w:val="0000FF"/>
        </w:rPr>
      </w:pPr>
    </w:p>
    <w:p w:rsidR="001000F9" w:rsidRDefault="00627C6D">
      <w:pPr>
        <w:pStyle w:val="2"/>
        <w:rPr>
          <w:rFonts w:ascii="华文仿宋" w:eastAsia="华文仿宋" w:hAnsi="华文仿宋"/>
        </w:rPr>
      </w:pPr>
      <w:bookmarkStart w:id="9" w:name="_Toc20607717"/>
      <w:r>
        <w:rPr>
          <w:rFonts w:ascii="华文仿宋" w:eastAsia="华文仿宋" w:hAnsi="华文仿宋" w:hint="eastAsia"/>
        </w:rPr>
        <w:t>2.4</w:t>
      </w:r>
      <w:r>
        <w:rPr>
          <w:rFonts w:ascii="华文仿宋" w:eastAsia="华文仿宋" w:hAnsi="华文仿宋" w:hint="eastAsia"/>
        </w:rPr>
        <w:t>投管模式：契合客户风险偏好</w:t>
      </w:r>
      <w:bookmarkEnd w:id="9"/>
    </w:p>
    <w:p w:rsidR="001000F9" w:rsidRDefault="00627C6D">
      <w:pPr>
        <w:ind w:firstLineChars="200" w:firstLine="480"/>
        <w:rPr>
          <w:rFonts w:ascii="华文仿宋" w:hAnsi="华文仿宋"/>
          <w:b/>
          <w:bCs/>
        </w:rPr>
      </w:pPr>
      <w:r>
        <w:rPr>
          <w:rFonts w:ascii="华文仿宋" w:hAnsi="华文仿宋" w:hint="eastAsia"/>
          <w:b/>
          <w:bCs/>
        </w:rPr>
        <w:t>（</w:t>
      </w:r>
      <w:r>
        <w:rPr>
          <w:rFonts w:ascii="华文仿宋" w:hAnsi="华文仿宋" w:hint="eastAsia"/>
          <w:b/>
          <w:bCs/>
        </w:rPr>
        <w:t>1</w:t>
      </w:r>
      <w:r>
        <w:rPr>
          <w:rFonts w:ascii="华文仿宋" w:hAnsi="华文仿宋" w:hint="eastAsia"/>
          <w:b/>
          <w:bCs/>
        </w:rPr>
        <w:t>）控制投资因素导致的净值波动</w:t>
      </w:r>
    </w:p>
    <w:p w:rsidR="001000F9" w:rsidRDefault="00627C6D">
      <w:pPr>
        <w:ind w:firstLineChars="200" w:firstLine="480"/>
        <w:rPr>
          <w:rFonts w:ascii="华文仿宋" w:hAnsi="华文仿宋"/>
        </w:rPr>
      </w:pPr>
      <w:r>
        <w:rPr>
          <w:rFonts w:ascii="华文仿宋" w:hAnsi="华文仿宋" w:hint="eastAsia"/>
        </w:rPr>
        <w:t>把握不同类型资产的相关性，做好大类资产配置，实现风险对冲，减少净值波动。</w:t>
      </w:r>
      <w:r>
        <w:rPr>
          <w:rFonts w:ascii="华文仿宋" w:hAnsi="华文仿宋" w:hint="eastAsia"/>
        </w:rPr>
        <w:t>同时，基</w:t>
      </w:r>
      <w:r>
        <w:rPr>
          <w:rFonts w:ascii="华文仿宋" w:hAnsi="华文仿宋" w:hint="eastAsia"/>
        </w:rPr>
        <w:t>于周期波动理论，做好前瞻性研判，</w:t>
      </w:r>
      <w:r w:rsidR="00BE751E">
        <w:rPr>
          <w:rFonts w:ascii="华文仿宋" w:hAnsi="华文仿宋" w:hint="eastAsia"/>
        </w:rPr>
        <w:t>实现行业轮动、</w:t>
      </w:r>
      <w:r>
        <w:rPr>
          <w:rFonts w:ascii="华文仿宋" w:hAnsi="华文仿宋" w:hint="eastAsia"/>
        </w:rPr>
        <w:t>周期</w:t>
      </w:r>
      <w:r w:rsidR="00BE751E">
        <w:rPr>
          <w:rFonts w:ascii="华文仿宋" w:hAnsi="华文仿宋" w:hint="eastAsia"/>
        </w:rPr>
        <w:t>轮动</w:t>
      </w:r>
      <w:r>
        <w:rPr>
          <w:rFonts w:ascii="华文仿宋" w:hAnsi="华文仿宋" w:hint="eastAsia"/>
        </w:rPr>
        <w:t>，</w:t>
      </w:r>
      <w:r w:rsidR="00BE751E">
        <w:rPr>
          <w:rFonts w:ascii="华文仿宋" w:hAnsi="华文仿宋" w:hint="eastAsia"/>
        </w:rPr>
        <w:t>实现低波动收益。</w:t>
      </w:r>
    </w:p>
    <w:p w:rsidR="001000F9" w:rsidRDefault="00627C6D">
      <w:pPr>
        <w:ind w:firstLineChars="200" w:firstLine="480"/>
        <w:rPr>
          <w:rFonts w:ascii="华文仿宋" w:hAnsi="华文仿宋"/>
          <w:b/>
          <w:bCs/>
        </w:rPr>
      </w:pPr>
      <w:r>
        <w:rPr>
          <w:rFonts w:ascii="华文仿宋" w:hAnsi="华文仿宋" w:hint="eastAsia"/>
          <w:b/>
          <w:bCs/>
        </w:rPr>
        <w:t>（</w:t>
      </w:r>
      <w:r>
        <w:rPr>
          <w:rFonts w:ascii="华文仿宋" w:hAnsi="华文仿宋" w:hint="eastAsia"/>
          <w:b/>
          <w:bCs/>
        </w:rPr>
        <w:t>2</w:t>
      </w:r>
      <w:r>
        <w:rPr>
          <w:rFonts w:ascii="华文仿宋" w:hAnsi="华文仿宋" w:hint="eastAsia"/>
          <w:b/>
          <w:bCs/>
        </w:rPr>
        <w:t>）控制流动性因素导致的波动</w:t>
      </w:r>
    </w:p>
    <w:p w:rsidR="001000F9" w:rsidRDefault="00627C6D">
      <w:pPr>
        <w:ind w:firstLineChars="200" w:firstLine="480"/>
        <w:rPr>
          <w:rFonts w:ascii="华文仿宋" w:hAnsi="华文仿宋"/>
        </w:rPr>
      </w:pPr>
      <w:r>
        <w:rPr>
          <w:rFonts w:ascii="华文仿宋" w:hAnsi="华文仿宋" w:hint="eastAsia"/>
        </w:rPr>
        <w:lastRenderedPageBreak/>
        <w:t>当产品规模一定，错配期越长，潜在的流动性风险越大，净值波动压力越大。受客户行为模式、市场可融资规模等因素影响，产品规模与流动性冲击呈现较为复杂的关系。</w:t>
      </w:r>
    </w:p>
    <w:p w:rsidR="001000F9" w:rsidRDefault="001000F9">
      <w:pPr>
        <w:rPr>
          <w:rFonts w:ascii="华文仿宋" w:hAnsi="华文仿宋"/>
        </w:rPr>
      </w:pPr>
    </w:p>
    <w:p w:rsidR="001000F9" w:rsidRDefault="00627C6D">
      <w:pPr>
        <w:pStyle w:val="2"/>
        <w:rPr>
          <w:rFonts w:ascii="华文仿宋" w:eastAsia="华文仿宋" w:hAnsi="华文仿宋"/>
        </w:rPr>
      </w:pPr>
      <w:bookmarkStart w:id="10" w:name="_Toc20607718"/>
      <w:r>
        <w:rPr>
          <w:rFonts w:ascii="华文仿宋" w:eastAsia="华文仿宋" w:hAnsi="华文仿宋" w:hint="eastAsia"/>
        </w:rPr>
        <w:t>2.5</w:t>
      </w:r>
      <w:r>
        <w:rPr>
          <w:rFonts w:ascii="华文仿宋" w:eastAsia="华文仿宋" w:hAnsi="华文仿宋" w:hint="eastAsia"/>
        </w:rPr>
        <w:t>产品净值化与投资模式转型</w:t>
      </w:r>
      <w:bookmarkEnd w:id="10"/>
    </w:p>
    <w:p w:rsidR="001000F9" w:rsidRDefault="00BE751E">
      <w:pPr>
        <w:ind w:firstLineChars="200" w:firstLine="480"/>
      </w:pPr>
      <w:r>
        <w:rPr>
          <w:rFonts w:ascii="华文仿宋" w:hAnsi="华文仿宋" w:hint="eastAsia"/>
        </w:rPr>
        <w:t>随着长期利率中枢下移和信用债等市场</w:t>
      </w:r>
      <w:r w:rsidR="00627C6D">
        <w:rPr>
          <w:rFonts w:ascii="华文仿宋" w:hAnsi="华文仿宋" w:hint="eastAsia"/>
        </w:rPr>
        <w:t>“刚兑”</w:t>
      </w:r>
      <w:r>
        <w:rPr>
          <w:rFonts w:ascii="华文仿宋" w:hAnsi="华文仿宋" w:hint="eastAsia"/>
        </w:rPr>
        <w:t>逐步打破</w:t>
      </w:r>
      <w:r w:rsidR="00627C6D">
        <w:rPr>
          <w:rFonts w:ascii="华文仿宋" w:hAnsi="华文仿宋" w:hint="eastAsia"/>
        </w:rPr>
        <w:t>，固收类资产隐含波动率趋于上升。我国资本市场“牛短熊长”的特点导致收益波动率较高，但是市场风险释放较为充分</w:t>
      </w:r>
      <w:r w:rsidR="00627C6D">
        <w:rPr>
          <w:rFonts w:ascii="华文仿宋" w:hAnsi="华文仿宋" w:hint="eastAsia"/>
        </w:rPr>
        <w:t>。</w:t>
      </w:r>
      <w:r w:rsidR="00627C6D">
        <w:rPr>
          <w:rFonts w:hint="eastAsia"/>
        </w:rPr>
        <w:t>过去依赖传统类信贷资产投资，非标准资产占比较高；未来标准化资产投资不断上升，以全市场多策略轮动提升收益、控制波动。</w:t>
      </w:r>
    </w:p>
    <w:p w:rsidR="001000F9" w:rsidRDefault="001000F9"/>
    <w:p w:rsidR="001000F9" w:rsidRDefault="00627C6D">
      <w:pPr>
        <w:pStyle w:val="2"/>
        <w:rPr>
          <w:rFonts w:ascii="华文仿宋" w:eastAsia="华文仿宋" w:hAnsi="华文仿宋"/>
        </w:rPr>
      </w:pPr>
      <w:bookmarkStart w:id="11" w:name="_Toc20607719"/>
      <w:r>
        <w:rPr>
          <w:rFonts w:ascii="华文仿宋" w:eastAsia="华文仿宋" w:hAnsi="华文仿宋" w:hint="eastAsia"/>
        </w:rPr>
        <w:t>2.</w:t>
      </w:r>
      <w:r>
        <w:rPr>
          <w:rFonts w:ascii="华文仿宋" w:eastAsia="华文仿宋" w:hAnsi="华文仿宋" w:hint="eastAsia"/>
        </w:rPr>
        <w:t>6</w:t>
      </w:r>
      <w:r w:rsidR="00BE751E">
        <w:rPr>
          <w:rFonts w:ascii="华文仿宋" w:eastAsia="华文仿宋" w:hAnsi="华文仿宋" w:hint="eastAsia"/>
        </w:rPr>
        <w:t>投</w:t>
      </w:r>
      <w:r>
        <w:rPr>
          <w:rFonts w:ascii="华文仿宋" w:eastAsia="华文仿宋" w:hAnsi="华文仿宋" w:hint="eastAsia"/>
        </w:rPr>
        <w:t>战</w:t>
      </w:r>
      <w:r>
        <w:rPr>
          <w:rFonts w:ascii="华文仿宋" w:eastAsia="华文仿宋" w:hAnsi="华文仿宋" w:hint="eastAsia"/>
        </w:rPr>
        <w:t>略性和战术性资产配置相结合</w:t>
      </w:r>
      <w:bookmarkEnd w:id="11"/>
    </w:p>
    <w:p w:rsidR="001000F9" w:rsidRDefault="00627C6D">
      <w:pPr>
        <w:ind w:firstLineChars="200" w:firstLine="480"/>
      </w:pPr>
      <w:r>
        <w:rPr>
          <w:rFonts w:hint="eastAsia"/>
          <w:b/>
          <w:bCs/>
        </w:rPr>
        <w:t>战略性资产配置策略聚焦于大类资产配置方向和比例，由产品属性、资产特性和市场走势决定。</w:t>
      </w:r>
      <w:r>
        <w:rPr>
          <w:rFonts w:hint="eastAsia"/>
        </w:rPr>
        <w:t>产品属性包括，产品负债久期、风险收益特征、客户风险偏好、投资目标以及产品定位等。</w:t>
      </w:r>
    </w:p>
    <w:p w:rsidR="001000F9" w:rsidRDefault="00627C6D">
      <w:pPr>
        <w:ind w:firstLineChars="200" w:firstLine="480"/>
      </w:pPr>
      <w:r>
        <w:rPr>
          <w:rFonts w:hint="eastAsia"/>
          <w:b/>
          <w:bCs/>
        </w:rPr>
        <w:t>战略性资产配置计划由公司层面投委会确定，</w:t>
      </w:r>
      <w:r>
        <w:rPr>
          <w:rFonts w:hint="eastAsia"/>
        </w:rPr>
        <w:t>结合产品发行策略、各专业资产团队对大类资产的预判以及各类别资产的风险收益特性进行深入研讨后确定。</w:t>
      </w:r>
    </w:p>
    <w:p w:rsidR="001000F9" w:rsidRDefault="00627C6D">
      <w:pPr>
        <w:ind w:firstLineChars="200" w:firstLine="480"/>
      </w:pPr>
      <w:r>
        <w:rPr>
          <w:rFonts w:hint="eastAsia"/>
          <w:b/>
          <w:bCs/>
        </w:rPr>
        <w:t>战术性资产配置策略聚焦于各类资产为赚取超额收益的各类子策略，</w:t>
      </w:r>
      <w:r>
        <w:rPr>
          <w:rFonts w:hint="eastAsia"/>
        </w:rPr>
        <w:t>以债券投资为例，包括杠杆策略、久期策略、波段操作、利差策略、行业轮动策略等。</w:t>
      </w:r>
    </w:p>
    <w:p w:rsidR="001000F9" w:rsidRDefault="00627C6D">
      <w:pPr>
        <w:ind w:firstLineChars="200" w:firstLine="480"/>
      </w:pPr>
      <w:r>
        <w:rPr>
          <w:rFonts w:hint="eastAsia"/>
          <w:b/>
          <w:bCs/>
        </w:rPr>
        <w:t>相较而言，战术性资产配置策略相对灵活许多，主要由产品的投资经理把控。</w:t>
      </w:r>
      <w:r>
        <w:rPr>
          <w:rFonts w:hint="eastAsia"/>
        </w:rPr>
        <w:t>应根据当前市场情况随机应变，灵活调整策略，寻找一切能提高收益的价值洼地。</w:t>
      </w:r>
    </w:p>
    <w:p w:rsidR="001000F9" w:rsidRDefault="001000F9"/>
    <w:p w:rsidR="001000F9" w:rsidRDefault="00627C6D">
      <w:pPr>
        <w:rPr>
          <w:rFonts w:ascii="华文仿宋" w:hAnsi="华文仿宋" w:cstheme="majorBidi"/>
          <w:b/>
          <w:bCs/>
          <w:sz w:val="28"/>
          <w:szCs w:val="32"/>
        </w:rPr>
      </w:pPr>
      <w:r>
        <w:rPr>
          <w:rFonts w:ascii="华文仿宋" w:hAnsi="华文仿宋" w:cstheme="majorBidi" w:hint="eastAsia"/>
          <w:b/>
          <w:bCs/>
          <w:sz w:val="28"/>
          <w:szCs w:val="32"/>
        </w:rPr>
        <w:t>2.7</w:t>
      </w:r>
      <w:r>
        <w:rPr>
          <w:rFonts w:ascii="华文仿宋" w:hAnsi="华文仿宋" w:cstheme="majorBidi" w:hint="eastAsia"/>
          <w:b/>
          <w:bCs/>
          <w:sz w:val="28"/>
          <w:szCs w:val="32"/>
        </w:rPr>
        <w:t>体系重塑</w:t>
      </w:r>
    </w:p>
    <w:p w:rsidR="001000F9" w:rsidRDefault="00627C6D">
      <w:pPr>
        <w:ind w:firstLineChars="200" w:firstLine="480"/>
      </w:pPr>
      <w:r>
        <w:rPr>
          <w:rFonts w:hint="eastAsia"/>
          <w:b/>
          <w:bCs/>
        </w:rPr>
        <w:lastRenderedPageBreak/>
        <w:t>产品</w:t>
      </w:r>
      <w:r w:rsidR="00BE751E">
        <w:rPr>
          <w:rFonts w:hint="eastAsia"/>
          <w:b/>
          <w:bCs/>
        </w:rPr>
        <w:t>体系。</w:t>
      </w:r>
      <w:r>
        <w:rPr>
          <w:rFonts w:hint="eastAsia"/>
        </w:rPr>
        <w:t>不同类型客户，需求不同，在做产品创设时首先要做好客户分层（个人与机构、高净值与普通客户、线上与线下客户</w:t>
      </w:r>
      <w:r>
        <w:rPr>
          <w:rFonts w:hint="eastAsia"/>
        </w:rPr>
        <w:t>的分层），同时做好客户需求沟通，有针对性的进行产品方案的创设。</w:t>
      </w:r>
    </w:p>
    <w:p w:rsidR="001000F9" w:rsidRDefault="00627C6D">
      <w:pPr>
        <w:ind w:firstLineChars="200" w:firstLine="480"/>
      </w:pPr>
      <w:r>
        <w:rPr>
          <w:rFonts w:hint="eastAsia"/>
          <w:b/>
          <w:bCs/>
        </w:rPr>
        <w:t>投</w:t>
      </w:r>
      <w:r>
        <w:rPr>
          <w:rFonts w:hint="eastAsia"/>
          <w:b/>
          <w:bCs/>
        </w:rPr>
        <w:t>研</w:t>
      </w:r>
      <w:r w:rsidR="00BE751E">
        <w:rPr>
          <w:rFonts w:hint="eastAsia"/>
          <w:b/>
          <w:bCs/>
        </w:rPr>
        <w:t>体系。</w:t>
      </w:r>
      <w:r>
        <w:rPr>
          <w:rFonts w:hint="eastAsia"/>
        </w:rPr>
        <w:t>从银行理财客户低风险偏好特点出发，搭建以绝对收益策略为主的风险管控体系与大类资产配置投研体系。一是围绕大类资产配置</w:t>
      </w:r>
      <w:r>
        <w:rPr>
          <w:rFonts w:hint="eastAsia"/>
        </w:rPr>
        <w:t>体系</w:t>
      </w:r>
      <w:r>
        <w:rPr>
          <w:rFonts w:hint="eastAsia"/>
        </w:rPr>
        <w:t>，做好相关投资研究；二是把投资和研究相结合，</w:t>
      </w:r>
      <w:r>
        <w:rPr>
          <w:rFonts w:hint="eastAsia"/>
        </w:rPr>
        <w:t>包括理财子公司与母行</w:t>
      </w:r>
      <w:r>
        <w:rPr>
          <w:rFonts w:hint="eastAsia"/>
        </w:rPr>
        <w:t>结合，银行资管与其他部门的结合</w:t>
      </w:r>
      <w:r>
        <w:rPr>
          <w:rFonts w:hint="eastAsia"/>
        </w:rPr>
        <w:t>。</w:t>
      </w:r>
    </w:p>
    <w:p w:rsidR="001000F9" w:rsidRDefault="00627C6D">
      <w:pPr>
        <w:ind w:firstLineChars="200" w:firstLine="480"/>
      </w:pPr>
      <w:r>
        <w:rPr>
          <w:rFonts w:hint="eastAsia"/>
          <w:b/>
          <w:bCs/>
        </w:rPr>
        <w:t>运营</w:t>
      </w:r>
      <w:r w:rsidR="00BE751E">
        <w:rPr>
          <w:rFonts w:hint="eastAsia"/>
          <w:b/>
          <w:bCs/>
        </w:rPr>
        <w:t>体系。</w:t>
      </w:r>
      <w:r>
        <w:rPr>
          <w:rFonts w:hint="eastAsia"/>
        </w:rPr>
        <w:t>围绕</w:t>
      </w:r>
      <w:r w:rsidR="00BE751E">
        <w:rPr>
          <w:rFonts w:hint="eastAsia"/>
        </w:rPr>
        <w:t>净值型</w:t>
      </w:r>
      <w:r>
        <w:rPr>
          <w:rFonts w:hint="eastAsia"/>
        </w:rPr>
        <w:t>产品</w:t>
      </w:r>
      <w:r w:rsidR="00BE751E">
        <w:rPr>
          <w:rFonts w:hint="eastAsia"/>
        </w:rPr>
        <w:t>运行</w:t>
      </w:r>
      <w:r>
        <w:rPr>
          <w:rFonts w:hint="eastAsia"/>
        </w:rPr>
        <w:t>做好相应流程建设。投资层面，</w:t>
      </w:r>
      <w:r w:rsidR="00BE751E">
        <w:rPr>
          <w:rFonts w:hint="eastAsia"/>
        </w:rPr>
        <w:t>做好</w:t>
      </w:r>
      <w:r>
        <w:rPr>
          <w:rFonts w:hint="eastAsia"/>
        </w:rPr>
        <w:t>从交易指令发出</w:t>
      </w:r>
      <w:r>
        <w:rPr>
          <w:rFonts w:hint="eastAsia"/>
        </w:rPr>
        <w:t>到资产结算环节的流程建设</w:t>
      </w:r>
      <w:r w:rsidR="00BE751E">
        <w:rPr>
          <w:rFonts w:hint="eastAsia"/>
        </w:rPr>
        <w:t>。</w:t>
      </w:r>
      <w:r>
        <w:rPr>
          <w:rFonts w:hint="eastAsia"/>
        </w:rPr>
        <w:t>通过运营系统将投资结果和客户做好沟通。其中</w:t>
      </w:r>
      <w:r w:rsidR="00BE751E">
        <w:rPr>
          <w:rFonts w:hint="eastAsia"/>
        </w:rPr>
        <w:t>，</w:t>
      </w:r>
      <w:r>
        <w:rPr>
          <w:rFonts w:hint="eastAsia"/>
        </w:rPr>
        <w:t>前台包括投资管理、交易实施、市场与产品，</w:t>
      </w:r>
      <w:r>
        <w:rPr>
          <w:rFonts w:hint="eastAsia"/>
        </w:rPr>
        <w:t>中台包括数据管理、风险管理、运维管理，后台包括</w:t>
      </w:r>
      <w:r>
        <w:rPr>
          <w:rFonts w:hint="eastAsia"/>
        </w:rPr>
        <w:t>资产管理、交易清算等。</w:t>
      </w:r>
    </w:p>
    <w:p w:rsidR="001000F9" w:rsidRPr="00BE751E" w:rsidRDefault="001000F9"/>
    <w:p w:rsidR="001000F9" w:rsidRDefault="00627C6D">
      <w:pPr>
        <w:pStyle w:val="1"/>
        <w:ind w:left="142"/>
        <w:rPr>
          <w:rFonts w:ascii="华文仿宋" w:eastAsia="华文仿宋" w:hAnsi="华文仿宋"/>
        </w:rPr>
      </w:pPr>
      <w:bookmarkStart w:id="12" w:name="_Toc20607720"/>
      <w:r>
        <w:rPr>
          <w:rFonts w:ascii="华文仿宋" w:eastAsia="华文仿宋" w:hAnsi="华文仿宋" w:hint="eastAsia"/>
        </w:rPr>
        <w:t>三、</w:t>
      </w:r>
      <w:r>
        <w:rPr>
          <w:rFonts w:ascii="华文仿宋" w:eastAsia="华文仿宋" w:hAnsi="华文仿宋" w:hint="eastAsia"/>
        </w:rPr>
        <w:t>兴</w:t>
      </w:r>
      <w:r>
        <w:rPr>
          <w:rFonts w:ascii="华文仿宋" w:eastAsia="华文仿宋" w:hAnsi="华文仿宋" w:hint="eastAsia"/>
        </w:rPr>
        <w:t>银理财转型实践</w:t>
      </w:r>
      <w:bookmarkEnd w:id="12"/>
    </w:p>
    <w:p w:rsidR="001000F9" w:rsidRDefault="00627C6D">
      <w:pPr>
        <w:pStyle w:val="2"/>
        <w:rPr>
          <w:rFonts w:ascii="华文仿宋" w:eastAsia="华文仿宋" w:hAnsi="华文仿宋"/>
        </w:rPr>
      </w:pPr>
      <w:bookmarkStart w:id="13" w:name="_Toc20607721"/>
      <w:r>
        <w:rPr>
          <w:rFonts w:ascii="华文仿宋" w:eastAsia="华文仿宋" w:hAnsi="华文仿宋" w:hint="eastAsia"/>
        </w:rPr>
        <w:t>3.1</w:t>
      </w:r>
      <w:r>
        <w:rPr>
          <w:rFonts w:ascii="华文仿宋" w:eastAsia="华文仿宋" w:hAnsi="华文仿宋" w:hint="eastAsia"/>
        </w:rPr>
        <w:t>兴银理财产品</w:t>
      </w:r>
      <w:r w:rsidR="007227EF">
        <w:rPr>
          <w:rFonts w:ascii="华文仿宋" w:eastAsia="华文仿宋" w:hAnsi="华文仿宋" w:hint="eastAsia"/>
        </w:rPr>
        <w:t>转型成果</w:t>
      </w:r>
      <w:bookmarkEnd w:id="13"/>
    </w:p>
    <w:p w:rsidR="001000F9" w:rsidRDefault="00627C6D">
      <w:pPr>
        <w:ind w:firstLineChars="200" w:firstLine="480"/>
        <w:rPr>
          <w:rFonts w:ascii="华文仿宋" w:hAnsi="华文仿宋" w:hint="eastAsia"/>
          <w:bCs/>
        </w:rPr>
      </w:pPr>
      <w:r>
        <w:rPr>
          <w:rFonts w:ascii="华文仿宋" w:hAnsi="华文仿宋" w:hint="eastAsia"/>
          <w:bCs/>
        </w:rPr>
        <w:t>兴业银行按照资管新规要求和从客户需求出发，进行了产品的规划和设计。根据不同客户类型以及客户收益预期、风险承受能力等，同时结合大类资产配置</w:t>
      </w:r>
      <w:r>
        <w:rPr>
          <w:rFonts w:ascii="华文仿宋" w:hAnsi="华文仿宋" w:hint="eastAsia"/>
          <w:bCs/>
        </w:rPr>
        <w:t>理念</w:t>
      </w:r>
      <w:r>
        <w:rPr>
          <w:rFonts w:ascii="华文仿宋" w:hAnsi="华文仿宋" w:hint="eastAsia"/>
          <w:bCs/>
        </w:rPr>
        <w:t>以及自身投研能力，综合考虑进行产品创设。</w:t>
      </w:r>
    </w:p>
    <w:p w:rsidR="007227EF" w:rsidRDefault="007227EF" w:rsidP="007227EF">
      <w:pPr>
        <w:ind w:firstLineChars="200" w:firstLine="480"/>
        <w:rPr>
          <w:bCs/>
        </w:rPr>
      </w:pPr>
      <w:r>
        <w:rPr>
          <w:rFonts w:hint="eastAsia"/>
          <w:b/>
        </w:rPr>
        <w:t>结构变化。</w:t>
      </w:r>
      <w:r>
        <w:rPr>
          <w:rFonts w:hint="eastAsia"/>
          <w:bCs/>
        </w:rPr>
        <w:t>资管新规颁布以来，兴业银行理财规模总体稳定，产品结构发生了较大变化。截至到</w:t>
      </w:r>
      <w:r>
        <w:rPr>
          <w:rFonts w:hint="eastAsia"/>
          <w:bCs/>
        </w:rPr>
        <w:t>2019</w:t>
      </w:r>
      <w:r>
        <w:rPr>
          <w:rFonts w:hint="eastAsia"/>
          <w:bCs/>
        </w:rPr>
        <w:t>年</w:t>
      </w:r>
      <w:r>
        <w:rPr>
          <w:rFonts w:hint="eastAsia"/>
          <w:bCs/>
        </w:rPr>
        <w:t>8</w:t>
      </w:r>
      <w:r>
        <w:rPr>
          <w:rFonts w:hint="eastAsia"/>
          <w:bCs/>
        </w:rPr>
        <w:t>月底，新产品合计规模占比达</w:t>
      </w:r>
      <w:r>
        <w:rPr>
          <w:rFonts w:hint="eastAsia"/>
          <w:bCs/>
        </w:rPr>
        <w:t>40%</w:t>
      </w:r>
      <w:r>
        <w:rPr>
          <w:rFonts w:hint="eastAsia"/>
          <w:bCs/>
        </w:rPr>
        <w:t>以上，老产品在不断压缩。</w:t>
      </w:r>
    </w:p>
    <w:p w:rsidR="007227EF" w:rsidRPr="007227EF" w:rsidRDefault="007227EF">
      <w:pPr>
        <w:ind w:firstLineChars="200" w:firstLine="480"/>
        <w:rPr>
          <w:rFonts w:ascii="华文仿宋" w:hAnsi="华文仿宋"/>
          <w:bCs/>
        </w:rPr>
      </w:pPr>
    </w:p>
    <w:p w:rsidR="001000F9" w:rsidRDefault="00627C6D">
      <w:pPr>
        <w:pStyle w:val="2"/>
        <w:rPr>
          <w:rFonts w:ascii="华文仿宋" w:eastAsia="华文仿宋" w:hAnsi="华文仿宋"/>
        </w:rPr>
      </w:pPr>
      <w:bookmarkStart w:id="14" w:name="_Toc20607722"/>
      <w:r>
        <w:rPr>
          <w:rFonts w:ascii="华文仿宋" w:eastAsia="华文仿宋" w:hAnsi="华文仿宋" w:hint="eastAsia"/>
        </w:rPr>
        <w:lastRenderedPageBreak/>
        <w:t>3.2</w:t>
      </w:r>
      <w:r>
        <w:rPr>
          <w:rFonts w:ascii="华文仿宋" w:eastAsia="华文仿宋" w:hAnsi="华文仿宋" w:hint="eastAsia"/>
        </w:rPr>
        <w:t>兴银理财</w:t>
      </w:r>
      <w:r w:rsidR="007227EF">
        <w:rPr>
          <w:rFonts w:ascii="华文仿宋" w:eastAsia="华文仿宋" w:hAnsi="华文仿宋" w:hint="eastAsia"/>
        </w:rPr>
        <w:t>体系建设</w:t>
      </w:r>
      <w:bookmarkEnd w:id="14"/>
    </w:p>
    <w:p w:rsidR="001000F9" w:rsidRDefault="00627C6D">
      <w:pPr>
        <w:ind w:firstLineChars="200" w:firstLine="480"/>
      </w:pPr>
      <w:r>
        <w:rPr>
          <w:rFonts w:hint="eastAsia"/>
          <w:b/>
        </w:rPr>
        <w:t>投研体系</w:t>
      </w:r>
      <w:r w:rsidR="007227EF">
        <w:rPr>
          <w:rFonts w:hint="eastAsia"/>
          <w:b/>
        </w:rPr>
        <w:t>。实现投研结合。研究重点是</w:t>
      </w:r>
      <w:r>
        <w:rPr>
          <w:rFonts w:hint="eastAsia"/>
          <w:bCs/>
        </w:rPr>
        <w:t>对大类资产走势进行研判，</w:t>
      </w:r>
      <w:r>
        <w:rPr>
          <w:rFonts w:hint="eastAsia"/>
          <w:bCs/>
        </w:rPr>
        <w:t>建立大类资产配置模型，提出大类资产配置策略</w:t>
      </w:r>
      <w:r>
        <w:rPr>
          <w:rFonts w:hint="eastAsia"/>
          <w:bCs/>
        </w:rPr>
        <w:t>；</w:t>
      </w:r>
      <w:r w:rsidR="007227EF">
        <w:rPr>
          <w:rFonts w:hint="eastAsia"/>
          <w:bCs/>
        </w:rPr>
        <w:t>深入开展</w:t>
      </w:r>
      <w:r>
        <w:rPr>
          <w:rFonts w:hint="eastAsia"/>
          <w:bCs/>
        </w:rPr>
        <w:t>债券与二级市场股票投资策略研究</w:t>
      </w:r>
      <w:r w:rsidR="007227EF">
        <w:rPr>
          <w:rFonts w:hint="eastAsia"/>
          <w:bCs/>
        </w:rPr>
        <w:t>，</w:t>
      </w:r>
      <w:r>
        <w:rPr>
          <w:rFonts w:hint="eastAsia"/>
          <w:bCs/>
        </w:rPr>
        <w:t>FOF/MOM</w:t>
      </w:r>
      <w:r>
        <w:rPr>
          <w:rFonts w:hint="eastAsia"/>
          <w:bCs/>
        </w:rPr>
        <w:t>研究，</w:t>
      </w:r>
      <w:r>
        <w:rPr>
          <w:rFonts w:hint="eastAsia"/>
          <w:bCs/>
        </w:rPr>
        <w:t>发债主体</w:t>
      </w:r>
      <w:r>
        <w:rPr>
          <w:rFonts w:hint="eastAsia"/>
          <w:bCs/>
        </w:rPr>
        <w:t>/</w:t>
      </w:r>
      <w:r>
        <w:rPr>
          <w:rFonts w:hint="eastAsia"/>
          <w:bCs/>
        </w:rPr>
        <w:t>债项信用分析，</w:t>
      </w:r>
      <w:r w:rsidR="007227EF">
        <w:rPr>
          <w:rFonts w:hint="eastAsia"/>
          <w:bCs/>
        </w:rPr>
        <w:t>建立并维护管理人池</w:t>
      </w:r>
      <w:r w:rsidR="007227EF">
        <w:rPr>
          <w:rFonts w:hint="eastAsia"/>
          <w:bCs/>
        </w:rPr>
        <w:t>/</w:t>
      </w:r>
      <w:r w:rsidR="007227EF">
        <w:rPr>
          <w:rFonts w:hint="eastAsia"/>
          <w:bCs/>
        </w:rPr>
        <w:t>基金池</w:t>
      </w:r>
      <w:r w:rsidR="007227EF">
        <w:rPr>
          <w:rFonts w:hint="eastAsia"/>
          <w:bCs/>
        </w:rPr>
        <w:t>/</w:t>
      </w:r>
      <w:r>
        <w:rPr>
          <w:rFonts w:hint="eastAsia"/>
          <w:bCs/>
        </w:rPr>
        <w:t>股票投</w:t>
      </w:r>
      <w:r>
        <w:rPr>
          <w:rFonts w:hint="eastAsia"/>
        </w:rPr>
        <w:t>资库</w:t>
      </w:r>
      <w:r w:rsidR="007227EF">
        <w:rPr>
          <w:rFonts w:hint="eastAsia"/>
        </w:rPr>
        <w:t>/</w:t>
      </w:r>
      <w:r w:rsidR="007227EF">
        <w:rPr>
          <w:rFonts w:hint="eastAsia"/>
          <w:bCs/>
        </w:rPr>
        <w:t>债券投资库</w:t>
      </w:r>
      <w:r>
        <w:rPr>
          <w:rFonts w:hint="eastAsia"/>
        </w:rPr>
        <w:t>。</w:t>
      </w:r>
    </w:p>
    <w:p w:rsidR="001000F9" w:rsidRDefault="00627C6D">
      <w:pPr>
        <w:ind w:firstLineChars="200" w:firstLine="480"/>
      </w:pPr>
      <w:r>
        <w:rPr>
          <w:rFonts w:hint="eastAsia"/>
          <w:b/>
          <w:bCs/>
        </w:rPr>
        <w:t>风控体系</w:t>
      </w:r>
      <w:r w:rsidR="007227EF">
        <w:rPr>
          <w:rFonts w:hint="eastAsia"/>
          <w:b/>
          <w:bCs/>
        </w:rPr>
        <w:t>。</w:t>
      </w:r>
      <w:r>
        <w:rPr>
          <w:rFonts w:hint="eastAsia"/>
        </w:rPr>
        <w:t>建立资产管理业务立体化风控体系，做到风险与收益相匹配，实现由“点”及“线”至“面”的多层次平衡。</w:t>
      </w:r>
    </w:p>
    <w:p w:rsidR="001000F9" w:rsidRDefault="00627C6D">
      <w:pPr>
        <w:ind w:firstLine="480"/>
      </w:pPr>
      <w:r>
        <w:rPr>
          <w:rFonts w:hint="eastAsia"/>
          <w:b/>
          <w:bCs/>
        </w:rPr>
        <w:t>IT</w:t>
      </w:r>
      <w:r>
        <w:rPr>
          <w:rFonts w:hint="eastAsia"/>
          <w:b/>
          <w:bCs/>
        </w:rPr>
        <w:t>体系</w:t>
      </w:r>
      <w:r w:rsidR="007227EF">
        <w:rPr>
          <w:rFonts w:hint="eastAsia"/>
          <w:b/>
          <w:bCs/>
        </w:rPr>
        <w:t>。</w:t>
      </w:r>
      <w:r>
        <w:rPr>
          <w:rFonts w:hint="eastAsia"/>
        </w:rPr>
        <w:t>IT</w:t>
      </w:r>
      <w:r>
        <w:rPr>
          <w:rFonts w:hint="eastAsia"/>
        </w:rPr>
        <w:t>体系围绕交易与账务、风控与流程、</w:t>
      </w:r>
      <w:r>
        <w:rPr>
          <w:rFonts w:hint="eastAsia"/>
        </w:rPr>
        <w:t>智能决策、数据中心等多功能作用，建设满足产品创设及转型要求的</w:t>
      </w:r>
      <w:r>
        <w:rPr>
          <w:rFonts w:hint="eastAsia"/>
        </w:rPr>
        <w:t>IT</w:t>
      </w:r>
      <w:r>
        <w:rPr>
          <w:rFonts w:hint="eastAsia"/>
        </w:rPr>
        <w:t>体系。</w:t>
      </w:r>
    </w:p>
    <w:p w:rsidR="001000F9" w:rsidRPr="007227EF" w:rsidRDefault="00627C6D" w:rsidP="007227EF">
      <w:pPr>
        <w:pStyle w:val="2"/>
        <w:rPr>
          <w:rFonts w:ascii="华文仿宋" w:eastAsia="华文仿宋" w:hAnsi="华文仿宋"/>
        </w:rPr>
      </w:pPr>
      <w:bookmarkStart w:id="15" w:name="_Toc20607723"/>
      <w:r>
        <w:rPr>
          <w:rFonts w:ascii="华文仿宋" w:eastAsia="华文仿宋" w:hAnsi="华文仿宋" w:hint="eastAsia"/>
        </w:rPr>
        <w:t>3.3</w:t>
      </w:r>
      <w:r>
        <w:rPr>
          <w:rFonts w:ascii="华文仿宋" w:eastAsia="华文仿宋" w:hAnsi="华文仿宋" w:hint="eastAsia"/>
        </w:rPr>
        <w:t>兴银理财与母体融合发展机制</w:t>
      </w:r>
      <w:bookmarkEnd w:id="15"/>
    </w:p>
    <w:p w:rsidR="001000F9" w:rsidRDefault="00627C6D">
      <w:pPr>
        <w:ind w:firstLineChars="200" w:firstLine="480"/>
      </w:pPr>
      <w:r>
        <w:rPr>
          <w:rFonts w:hint="eastAsia"/>
          <w:b/>
          <w:bCs/>
        </w:rPr>
        <w:t>与投行企金板块协同，</w:t>
      </w:r>
      <w:r>
        <w:rPr>
          <w:rFonts w:hint="eastAsia"/>
        </w:rPr>
        <w:t>以资管投行功能全面服务企金客户需求</w:t>
      </w:r>
      <w:r>
        <w:rPr>
          <w:rFonts w:hint="eastAsia"/>
        </w:rPr>
        <w:t>，在风险隔离基础上实现资产创设与投资联动。理财子公司为母行企业客户提供资管产品，满足企业客户不同阶段的发展需求。</w:t>
      </w:r>
    </w:p>
    <w:p w:rsidR="001000F9" w:rsidRDefault="00627C6D">
      <w:pPr>
        <w:ind w:firstLineChars="200" w:firstLine="480"/>
      </w:pPr>
      <w:r>
        <w:rPr>
          <w:rFonts w:hint="eastAsia"/>
          <w:b/>
          <w:bCs/>
        </w:rPr>
        <w:t>与同业板块协同，</w:t>
      </w:r>
      <w:r>
        <w:rPr>
          <w:rFonts w:hint="eastAsia"/>
        </w:rPr>
        <w:t>在大同业平台上开展表外同业合作</w:t>
      </w:r>
      <w:r>
        <w:rPr>
          <w:rFonts w:hint="eastAsia"/>
        </w:rPr>
        <w:t>，</w:t>
      </w:r>
      <w:r w:rsidR="007227EF">
        <w:rPr>
          <w:rFonts w:hint="eastAsia"/>
        </w:rPr>
        <w:t>通过互联网平台代销理财产品，</w:t>
      </w:r>
      <w:r>
        <w:rPr>
          <w:rFonts w:hint="eastAsia"/>
        </w:rPr>
        <w:t>拓展同业代销渠道。</w:t>
      </w:r>
    </w:p>
    <w:p w:rsidR="001000F9" w:rsidRDefault="00627C6D">
      <w:pPr>
        <w:ind w:firstLineChars="200" w:firstLine="480"/>
      </w:pPr>
      <w:r>
        <w:rPr>
          <w:rFonts w:hint="eastAsia"/>
          <w:b/>
          <w:bCs/>
        </w:rPr>
        <w:t>与财富板块协同，</w:t>
      </w:r>
      <w:r>
        <w:rPr>
          <w:rFonts w:hint="eastAsia"/>
        </w:rPr>
        <w:t>依托母行财富板块面向零售客户发行销售理财产品</w:t>
      </w:r>
      <w:r>
        <w:rPr>
          <w:rFonts w:hint="eastAsia"/>
        </w:rPr>
        <w:t>，</w:t>
      </w:r>
      <w:r>
        <w:rPr>
          <w:rFonts w:hint="eastAsia"/>
        </w:rPr>
        <w:t>理财子公司持续推出有竞争力的理财产品，成为母行拓新客、稳存量的抓手</w:t>
      </w:r>
      <w:r>
        <w:rPr>
          <w:rFonts w:hint="eastAsia"/>
        </w:rPr>
        <w:t>。</w:t>
      </w:r>
    </w:p>
    <w:p w:rsidR="001000F9" w:rsidRDefault="00627C6D">
      <w:pPr>
        <w:ind w:firstLineChars="200" w:firstLine="480"/>
      </w:pPr>
      <w:r>
        <w:rPr>
          <w:rFonts w:hint="eastAsia"/>
          <w:b/>
          <w:bCs/>
        </w:rPr>
        <w:t>与风险板块协同，</w:t>
      </w:r>
      <w:r>
        <w:rPr>
          <w:rFonts w:hint="eastAsia"/>
        </w:rPr>
        <w:t>在资产的投资准入、投后管理等环节，及时充分的信息共享交流</w:t>
      </w:r>
      <w:r>
        <w:rPr>
          <w:rFonts w:hint="eastAsia"/>
        </w:rPr>
        <w:t>，</w:t>
      </w:r>
      <w:r>
        <w:rPr>
          <w:rFonts w:hint="eastAsia"/>
        </w:rPr>
        <w:t>理财投资决策体系与母行投资决策体系</w:t>
      </w:r>
      <w:r>
        <w:rPr>
          <w:rFonts w:hint="eastAsia"/>
        </w:rPr>
        <w:t>有机衔接。</w:t>
      </w:r>
    </w:p>
    <w:p w:rsidR="001000F9" w:rsidRDefault="00627C6D">
      <w:pPr>
        <w:ind w:firstLineChars="200" w:firstLine="480"/>
      </w:pPr>
      <w:r>
        <w:rPr>
          <w:rFonts w:hint="eastAsia"/>
          <w:b/>
          <w:bCs/>
        </w:rPr>
        <w:t>与运营科技协同，</w:t>
      </w:r>
      <w:r>
        <w:rPr>
          <w:rFonts w:hint="eastAsia"/>
        </w:rPr>
        <w:t>借助母行平台优势，在中后台领域，尤其是托管、会计、科技等方面，依托母行提供服务保障</w:t>
      </w:r>
      <w:r>
        <w:rPr>
          <w:rFonts w:hint="eastAsia"/>
        </w:rPr>
        <w:t>。</w:t>
      </w:r>
    </w:p>
    <w:sectPr w:rsidR="001000F9" w:rsidSect="001000F9">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C6D" w:rsidRDefault="00627C6D" w:rsidP="001000F9">
      <w:pPr>
        <w:spacing w:line="240" w:lineRule="auto"/>
      </w:pPr>
      <w:r>
        <w:separator/>
      </w:r>
    </w:p>
  </w:endnote>
  <w:endnote w:type="continuationSeparator" w:id="1">
    <w:p w:rsidR="00627C6D" w:rsidRDefault="00627C6D" w:rsidP="001000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F9" w:rsidRDefault="001000F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F9" w:rsidRDefault="001000F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F9" w:rsidRDefault="001000F9">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1000F9" w:rsidRDefault="001000F9">
                <w:pPr>
                  <w:pStyle w:val="a6"/>
                  <w:rPr>
                    <w:rFonts w:ascii="Times New Roman" w:hAnsi="Times New Roman" w:cs="Times New Roman"/>
                  </w:rPr>
                </w:pPr>
                <w:r>
                  <w:rPr>
                    <w:rFonts w:ascii="Times New Roman" w:hAnsi="Times New Roman" w:cs="Times New Roman"/>
                  </w:rPr>
                  <w:fldChar w:fldCharType="begin"/>
                </w:r>
                <w:r w:rsidR="00627C6D">
                  <w:rPr>
                    <w:rFonts w:ascii="Times New Roman" w:hAnsi="Times New Roman" w:cs="Times New Roman"/>
                  </w:rPr>
                  <w:instrText xml:space="preserve"> PAGE  \* MERGEFORMAT </w:instrText>
                </w:r>
                <w:r>
                  <w:rPr>
                    <w:rFonts w:ascii="Times New Roman" w:hAnsi="Times New Roman" w:cs="Times New Roman"/>
                  </w:rPr>
                  <w:fldChar w:fldCharType="separate"/>
                </w:r>
                <w:r w:rsidR="004D510B">
                  <w:rPr>
                    <w:rFonts w:ascii="Times New Roman" w:hAnsi="Times New Roman" w:cs="Times New Roman"/>
                    <w:noProof/>
                  </w:rPr>
                  <w:t>1</w:t>
                </w:r>
                <w:r>
                  <w:rPr>
                    <w:rFonts w:ascii="Times New Roman" w:hAnsi="Times New Roman" w:cs="Times New Roma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C6D" w:rsidRDefault="00627C6D" w:rsidP="001000F9">
      <w:pPr>
        <w:spacing w:line="240" w:lineRule="auto"/>
      </w:pPr>
      <w:r>
        <w:separator/>
      </w:r>
    </w:p>
  </w:footnote>
  <w:footnote w:type="continuationSeparator" w:id="1">
    <w:p w:rsidR="00627C6D" w:rsidRDefault="00627C6D" w:rsidP="001000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F9" w:rsidRDefault="00627C6D">
    <w:pPr>
      <w:pStyle w:val="a7"/>
      <w:jc w:val="right"/>
      <w:rPr>
        <w:rFonts w:ascii="楷体" w:eastAsia="楷体" w:hAnsi="楷体" w:cs="楷体"/>
        <w:b/>
        <w:bCs/>
        <w:color w:val="4472C4" w:themeColor="accent1"/>
        <w:sz w:val="21"/>
        <w:szCs w:val="32"/>
      </w:rPr>
    </w:pPr>
    <w:r>
      <w:rPr>
        <w:rFonts w:ascii="楷体" w:eastAsia="楷体" w:hAnsi="楷体" w:cs="楷体" w:hint="eastAsia"/>
        <w:b/>
        <w:bCs/>
        <w:color w:val="4472C4" w:themeColor="accent1"/>
        <w:sz w:val="21"/>
        <w:szCs w:val="32"/>
      </w:rPr>
      <w:t>银行理财产品净值化与业务模式变革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19431"/>
    <w:multiLevelType w:val="singleLevel"/>
    <w:tmpl w:val="51A1943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5F8F"/>
    <w:rsid w:val="00027143"/>
    <w:rsid w:val="00035995"/>
    <w:rsid w:val="00065D4B"/>
    <w:rsid w:val="00083001"/>
    <w:rsid w:val="000F1595"/>
    <w:rsid w:val="000F5C46"/>
    <w:rsid w:val="001000F9"/>
    <w:rsid w:val="0010514A"/>
    <w:rsid w:val="00115C37"/>
    <w:rsid w:val="001E2977"/>
    <w:rsid w:val="00233269"/>
    <w:rsid w:val="00366DCC"/>
    <w:rsid w:val="00386FD4"/>
    <w:rsid w:val="00391A08"/>
    <w:rsid w:val="004440B6"/>
    <w:rsid w:val="0049516C"/>
    <w:rsid w:val="004D4572"/>
    <w:rsid w:val="004D510B"/>
    <w:rsid w:val="004F7A66"/>
    <w:rsid w:val="005D0E4F"/>
    <w:rsid w:val="005D1CB8"/>
    <w:rsid w:val="005E4A2C"/>
    <w:rsid w:val="00601DBF"/>
    <w:rsid w:val="00627C6D"/>
    <w:rsid w:val="0063667B"/>
    <w:rsid w:val="006654EE"/>
    <w:rsid w:val="00675F8F"/>
    <w:rsid w:val="006B066D"/>
    <w:rsid w:val="006D0C84"/>
    <w:rsid w:val="007227EF"/>
    <w:rsid w:val="0073406C"/>
    <w:rsid w:val="00746BD2"/>
    <w:rsid w:val="00763542"/>
    <w:rsid w:val="007E66C1"/>
    <w:rsid w:val="008F3C1E"/>
    <w:rsid w:val="008F5CC0"/>
    <w:rsid w:val="00987E3C"/>
    <w:rsid w:val="009A1448"/>
    <w:rsid w:val="009A6DDC"/>
    <w:rsid w:val="009E6F43"/>
    <w:rsid w:val="009F160C"/>
    <w:rsid w:val="00A45227"/>
    <w:rsid w:val="00A5536D"/>
    <w:rsid w:val="00A81C18"/>
    <w:rsid w:val="00AA0C2F"/>
    <w:rsid w:val="00AC6344"/>
    <w:rsid w:val="00AE4C0C"/>
    <w:rsid w:val="00AF3E4A"/>
    <w:rsid w:val="00B93395"/>
    <w:rsid w:val="00BC58B0"/>
    <w:rsid w:val="00BE751E"/>
    <w:rsid w:val="00C31ECE"/>
    <w:rsid w:val="00C35873"/>
    <w:rsid w:val="00C72FBE"/>
    <w:rsid w:val="00CA6689"/>
    <w:rsid w:val="00D45136"/>
    <w:rsid w:val="00D50CF5"/>
    <w:rsid w:val="00D77193"/>
    <w:rsid w:val="00E02D0E"/>
    <w:rsid w:val="00E366A9"/>
    <w:rsid w:val="00E50E15"/>
    <w:rsid w:val="00E51C68"/>
    <w:rsid w:val="00EB31BF"/>
    <w:rsid w:val="00F20C79"/>
    <w:rsid w:val="00F53421"/>
    <w:rsid w:val="00FA0DA1"/>
    <w:rsid w:val="00FF2D89"/>
    <w:rsid w:val="01C609AF"/>
    <w:rsid w:val="04B03A24"/>
    <w:rsid w:val="08191AF0"/>
    <w:rsid w:val="0A7E3199"/>
    <w:rsid w:val="1BA67A60"/>
    <w:rsid w:val="212C33B8"/>
    <w:rsid w:val="2ADE4BD7"/>
    <w:rsid w:val="2FEB7E0F"/>
    <w:rsid w:val="30BD15BD"/>
    <w:rsid w:val="36B0118F"/>
    <w:rsid w:val="3E1457E5"/>
    <w:rsid w:val="3E657E27"/>
    <w:rsid w:val="3ED252A2"/>
    <w:rsid w:val="47003CF8"/>
    <w:rsid w:val="4AC0590A"/>
    <w:rsid w:val="4D426BF3"/>
    <w:rsid w:val="4D883417"/>
    <w:rsid w:val="57120A57"/>
    <w:rsid w:val="5EDB3876"/>
    <w:rsid w:val="5F666DE4"/>
    <w:rsid w:val="72944BB4"/>
    <w:rsid w:val="79C844B3"/>
    <w:rsid w:val="7D4071A4"/>
    <w:rsid w:val="7EEE0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0F9"/>
    <w:pPr>
      <w:widowControl w:val="0"/>
      <w:spacing w:line="360" w:lineRule="auto"/>
      <w:jc w:val="both"/>
    </w:pPr>
    <w:rPr>
      <w:rFonts w:eastAsia="华文仿宋"/>
      <w:kern w:val="2"/>
      <w:sz w:val="24"/>
      <w:szCs w:val="22"/>
    </w:rPr>
  </w:style>
  <w:style w:type="paragraph" w:styleId="1">
    <w:name w:val="heading 1"/>
    <w:basedOn w:val="a"/>
    <w:next w:val="a"/>
    <w:link w:val="1Char"/>
    <w:uiPriority w:val="9"/>
    <w:qFormat/>
    <w:rsid w:val="001000F9"/>
    <w:pPr>
      <w:keepNext/>
      <w:keepLines/>
      <w:spacing w:before="100" w:after="90" w:line="576" w:lineRule="auto"/>
      <w:outlineLvl w:val="0"/>
    </w:pPr>
    <w:rPr>
      <w:rFonts w:eastAsia="仿宋"/>
      <w:b/>
      <w:bCs/>
      <w:kern w:val="44"/>
      <w:sz w:val="30"/>
      <w:szCs w:val="44"/>
    </w:rPr>
  </w:style>
  <w:style w:type="paragraph" w:styleId="2">
    <w:name w:val="heading 2"/>
    <w:basedOn w:val="a"/>
    <w:next w:val="a"/>
    <w:link w:val="2Char"/>
    <w:uiPriority w:val="9"/>
    <w:unhideWhenUsed/>
    <w:qFormat/>
    <w:rsid w:val="001000F9"/>
    <w:pPr>
      <w:keepNext/>
      <w:keepLines/>
      <w:spacing w:before="20" w:after="20" w:line="413" w:lineRule="auto"/>
      <w:outlineLvl w:val="1"/>
    </w:pPr>
    <w:rPr>
      <w:rFonts w:asciiTheme="majorHAnsi" w:eastAsia="仿宋" w:hAnsiTheme="majorHAnsi" w:cstheme="majorBidi"/>
      <w:b/>
      <w:bCs/>
      <w:sz w:val="28"/>
      <w:szCs w:val="32"/>
    </w:rPr>
  </w:style>
  <w:style w:type="paragraph" w:styleId="3">
    <w:name w:val="heading 3"/>
    <w:basedOn w:val="a"/>
    <w:next w:val="a"/>
    <w:link w:val="3Char"/>
    <w:uiPriority w:val="9"/>
    <w:unhideWhenUsed/>
    <w:qFormat/>
    <w:rsid w:val="001000F9"/>
    <w:pPr>
      <w:keepNext/>
      <w:keepLines/>
      <w:spacing w:before="260" w:after="260" w:line="413" w:lineRule="auto"/>
      <w:outlineLvl w:val="2"/>
    </w:pPr>
    <w:rPr>
      <w:rFonts w:eastAsia="仿宋"/>
      <w:b/>
      <w:bCs/>
      <w:szCs w:val="32"/>
    </w:rPr>
  </w:style>
  <w:style w:type="paragraph" w:styleId="4">
    <w:name w:val="heading 4"/>
    <w:basedOn w:val="a"/>
    <w:next w:val="a"/>
    <w:link w:val="4Char"/>
    <w:uiPriority w:val="9"/>
    <w:unhideWhenUsed/>
    <w:qFormat/>
    <w:rsid w:val="001000F9"/>
    <w:pPr>
      <w:keepNext/>
      <w:keepLines/>
      <w:outlineLvl w:val="3"/>
    </w:pPr>
    <w:rPr>
      <w:rFonts w:asciiTheme="majorHAnsi"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000F9"/>
    <w:pPr>
      <w:jc w:val="left"/>
    </w:pPr>
  </w:style>
  <w:style w:type="paragraph" w:styleId="30">
    <w:name w:val="toc 3"/>
    <w:basedOn w:val="a"/>
    <w:next w:val="a"/>
    <w:uiPriority w:val="39"/>
    <w:unhideWhenUsed/>
    <w:qFormat/>
    <w:rsid w:val="001000F9"/>
    <w:pPr>
      <w:ind w:leftChars="400" w:left="840"/>
    </w:pPr>
  </w:style>
  <w:style w:type="paragraph" w:styleId="a4">
    <w:name w:val="Date"/>
    <w:basedOn w:val="a"/>
    <w:next w:val="a"/>
    <w:link w:val="Char0"/>
    <w:uiPriority w:val="99"/>
    <w:semiHidden/>
    <w:unhideWhenUsed/>
    <w:qFormat/>
    <w:rsid w:val="001000F9"/>
    <w:pPr>
      <w:ind w:leftChars="2500" w:left="100"/>
    </w:pPr>
  </w:style>
  <w:style w:type="paragraph" w:styleId="a5">
    <w:name w:val="Balloon Text"/>
    <w:basedOn w:val="a"/>
    <w:link w:val="Char1"/>
    <w:uiPriority w:val="99"/>
    <w:semiHidden/>
    <w:unhideWhenUsed/>
    <w:qFormat/>
    <w:rsid w:val="001000F9"/>
    <w:pPr>
      <w:spacing w:line="240" w:lineRule="auto"/>
    </w:pPr>
    <w:rPr>
      <w:sz w:val="18"/>
      <w:szCs w:val="18"/>
    </w:rPr>
  </w:style>
  <w:style w:type="paragraph" w:styleId="a6">
    <w:name w:val="footer"/>
    <w:basedOn w:val="a"/>
    <w:link w:val="Char2"/>
    <w:uiPriority w:val="99"/>
    <w:unhideWhenUsed/>
    <w:qFormat/>
    <w:rsid w:val="001000F9"/>
    <w:pPr>
      <w:tabs>
        <w:tab w:val="center" w:pos="4153"/>
        <w:tab w:val="right" w:pos="8306"/>
      </w:tabs>
      <w:snapToGrid w:val="0"/>
      <w:jc w:val="left"/>
    </w:pPr>
    <w:rPr>
      <w:sz w:val="18"/>
      <w:szCs w:val="18"/>
    </w:rPr>
  </w:style>
  <w:style w:type="paragraph" w:styleId="a7">
    <w:name w:val="header"/>
    <w:basedOn w:val="a"/>
    <w:link w:val="Char3"/>
    <w:unhideWhenUsed/>
    <w:qFormat/>
    <w:rsid w:val="001000F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000F9"/>
  </w:style>
  <w:style w:type="paragraph" w:styleId="20">
    <w:name w:val="toc 2"/>
    <w:basedOn w:val="a"/>
    <w:next w:val="a"/>
    <w:uiPriority w:val="39"/>
    <w:unhideWhenUsed/>
    <w:qFormat/>
    <w:rsid w:val="001000F9"/>
    <w:pPr>
      <w:ind w:leftChars="200" w:left="420"/>
    </w:pPr>
  </w:style>
  <w:style w:type="paragraph" w:styleId="a8">
    <w:name w:val="annotation subject"/>
    <w:basedOn w:val="a3"/>
    <w:next w:val="a3"/>
    <w:link w:val="Char4"/>
    <w:uiPriority w:val="99"/>
    <w:semiHidden/>
    <w:unhideWhenUsed/>
    <w:qFormat/>
    <w:rsid w:val="001000F9"/>
    <w:rPr>
      <w:b/>
      <w:bCs/>
    </w:rPr>
  </w:style>
  <w:style w:type="table" w:styleId="a9">
    <w:name w:val="Table Grid"/>
    <w:basedOn w:val="a1"/>
    <w:uiPriority w:val="39"/>
    <w:qFormat/>
    <w:rsid w:val="00100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1000F9"/>
    <w:rPr>
      <w:color w:val="0563C1" w:themeColor="hyperlink"/>
      <w:u w:val="single"/>
    </w:rPr>
  </w:style>
  <w:style w:type="character" w:styleId="ab">
    <w:name w:val="annotation reference"/>
    <w:basedOn w:val="a0"/>
    <w:uiPriority w:val="99"/>
    <w:semiHidden/>
    <w:unhideWhenUsed/>
    <w:qFormat/>
    <w:rsid w:val="001000F9"/>
    <w:rPr>
      <w:sz w:val="21"/>
      <w:szCs w:val="21"/>
    </w:rPr>
  </w:style>
  <w:style w:type="character" w:customStyle="1" w:styleId="1Char">
    <w:name w:val="标题 1 Char"/>
    <w:basedOn w:val="a0"/>
    <w:link w:val="1"/>
    <w:uiPriority w:val="9"/>
    <w:qFormat/>
    <w:rsid w:val="001000F9"/>
    <w:rPr>
      <w:rFonts w:eastAsia="仿宋"/>
      <w:b/>
      <w:bCs/>
      <w:kern w:val="44"/>
      <w:sz w:val="30"/>
      <w:szCs w:val="44"/>
    </w:rPr>
  </w:style>
  <w:style w:type="paragraph" w:styleId="ac">
    <w:name w:val="List Paragraph"/>
    <w:basedOn w:val="a"/>
    <w:uiPriority w:val="34"/>
    <w:qFormat/>
    <w:rsid w:val="001000F9"/>
    <w:pPr>
      <w:ind w:firstLineChars="200" w:firstLine="420"/>
    </w:pPr>
  </w:style>
  <w:style w:type="character" w:customStyle="1" w:styleId="2Char">
    <w:name w:val="标题 2 Char"/>
    <w:basedOn w:val="a0"/>
    <w:link w:val="2"/>
    <w:uiPriority w:val="9"/>
    <w:qFormat/>
    <w:rsid w:val="001000F9"/>
    <w:rPr>
      <w:rFonts w:asciiTheme="majorHAnsi" w:eastAsia="仿宋" w:hAnsiTheme="majorHAnsi" w:cstheme="majorBidi"/>
      <w:b/>
      <w:bCs/>
      <w:sz w:val="28"/>
      <w:szCs w:val="32"/>
    </w:rPr>
  </w:style>
  <w:style w:type="character" w:customStyle="1" w:styleId="Char3">
    <w:name w:val="页眉 Char"/>
    <w:basedOn w:val="a0"/>
    <w:link w:val="a7"/>
    <w:uiPriority w:val="99"/>
    <w:qFormat/>
    <w:rsid w:val="001000F9"/>
    <w:rPr>
      <w:rFonts w:eastAsia="华文宋体"/>
      <w:sz w:val="18"/>
      <w:szCs w:val="18"/>
    </w:rPr>
  </w:style>
  <w:style w:type="character" w:customStyle="1" w:styleId="Char2">
    <w:name w:val="页脚 Char"/>
    <w:basedOn w:val="a0"/>
    <w:link w:val="a6"/>
    <w:uiPriority w:val="99"/>
    <w:qFormat/>
    <w:rsid w:val="001000F9"/>
    <w:rPr>
      <w:rFonts w:eastAsia="华文宋体"/>
      <w:sz w:val="18"/>
      <w:szCs w:val="18"/>
    </w:rPr>
  </w:style>
  <w:style w:type="paragraph" w:customStyle="1" w:styleId="TOC1">
    <w:name w:val="TOC 标题1"/>
    <w:basedOn w:val="1"/>
    <w:next w:val="a"/>
    <w:uiPriority w:val="39"/>
    <w:unhideWhenUsed/>
    <w:qFormat/>
    <w:rsid w:val="001000F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0">
    <w:name w:val="日期 Char"/>
    <w:basedOn w:val="a0"/>
    <w:link w:val="a4"/>
    <w:uiPriority w:val="99"/>
    <w:semiHidden/>
    <w:qFormat/>
    <w:rsid w:val="001000F9"/>
    <w:rPr>
      <w:rFonts w:eastAsia="华文宋体"/>
      <w:sz w:val="24"/>
    </w:rPr>
  </w:style>
  <w:style w:type="character" w:customStyle="1" w:styleId="3Char">
    <w:name w:val="标题 3 Char"/>
    <w:basedOn w:val="a0"/>
    <w:link w:val="3"/>
    <w:uiPriority w:val="9"/>
    <w:qFormat/>
    <w:rsid w:val="001000F9"/>
    <w:rPr>
      <w:rFonts w:eastAsia="仿宋"/>
      <w:b/>
      <w:bCs/>
      <w:sz w:val="24"/>
      <w:szCs w:val="32"/>
    </w:rPr>
  </w:style>
  <w:style w:type="character" w:customStyle="1" w:styleId="4Char">
    <w:name w:val="标题 4 Char"/>
    <w:basedOn w:val="a0"/>
    <w:link w:val="4"/>
    <w:uiPriority w:val="9"/>
    <w:qFormat/>
    <w:rsid w:val="001000F9"/>
    <w:rPr>
      <w:rFonts w:asciiTheme="majorHAnsi" w:eastAsia="华文仿宋" w:hAnsiTheme="majorHAnsi" w:cstheme="majorBidi"/>
      <w:b/>
      <w:bCs/>
      <w:sz w:val="24"/>
      <w:szCs w:val="28"/>
    </w:rPr>
  </w:style>
  <w:style w:type="character" w:customStyle="1" w:styleId="Char">
    <w:name w:val="批注文字 Char"/>
    <w:basedOn w:val="a0"/>
    <w:link w:val="a3"/>
    <w:uiPriority w:val="99"/>
    <w:semiHidden/>
    <w:qFormat/>
    <w:rsid w:val="001000F9"/>
    <w:rPr>
      <w:rFonts w:eastAsia="华文仿宋"/>
      <w:sz w:val="24"/>
    </w:rPr>
  </w:style>
  <w:style w:type="character" w:customStyle="1" w:styleId="Char4">
    <w:name w:val="批注主题 Char"/>
    <w:basedOn w:val="Char"/>
    <w:link w:val="a8"/>
    <w:uiPriority w:val="99"/>
    <w:semiHidden/>
    <w:qFormat/>
    <w:rsid w:val="001000F9"/>
    <w:rPr>
      <w:rFonts w:eastAsia="华文仿宋"/>
      <w:b/>
      <w:bCs/>
      <w:sz w:val="24"/>
    </w:rPr>
  </w:style>
  <w:style w:type="character" w:customStyle="1" w:styleId="Char1">
    <w:name w:val="批注框文本 Char"/>
    <w:basedOn w:val="a0"/>
    <w:link w:val="a5"/>
    <w:uiPriority w:val="99"/>
    <w:semiHidden/>
    <w:qFormat/>
    <w:rsid w:val="001000F9"/>
    <w:rPr>
      <w:rFonts w:eastAsia="华文仿宋"/>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9AB5C-AF31-4EF8-9792-7361392F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604</Words>
  <Characters>3449</Characters>
  <Application>Microsoft Office Word</Application>
  <DocSecurity>0</DocSecurity>
  <Lines>28</Lines>
  <Paragraphs>8</Paragraphs>
  <ScaleCrop>false</ScaleCrop>
  <Company>Microsoft</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wsm</cp:lastModifiedBy>
  <cp:revision>7</cp:revision>
  <dcterms:created xsi:type="dcterms:W3CDTF">2018-10-23T08:47:00Z</dcterms:created>
  <dcterms:modified xsi:type="dcterms:W3CDTF">2019-09-28T16:01:00Z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